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eg" ContentType="image/jpeg"/>
  <Default Extension="gif" ContentType="image/gif"/>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E45" w:rsidRPr="00FE4B89" w:rsidRDefault="007A7E45" w:rsidP="00FE4B89">
      <w:bookmarkStart w:id="0" w:name="_GoBack"/>
      <w:bookmarkEnd w:id="0"/>
    </w:p>
    <w:sectPr w:rsidR="007A7E45" w:rsidRPr="00FE4B89" w:rsidSect="00F91724">
      <w:headerReference w:type="default" r:id="rId7"/>
      <w:footerReference w:type="default" r:id="rId8"/>
      <w:type w:val="continuous"/>
      <w:pgSz w:w="11906" w:h="16838"/>
      <w:pgMar w:top="851" w:right="851" w:bottom="851" w:left="851" w:header="709" w:footer="709" w:gutter="0"/>
      <w:cols w:space="708"/>
      <w:docGrid w:linePitch="360"/>
    </w:sectPr>
    <w:p>
      <w:pPr>
        <w:jc w:val="left"/>
        <w:pStyle w:val="Heading2"/>
      </w:pPr>
      <w:r>
        <w:rPr>
          <w:rFonts w:hAnsi="Times New Roman" w:cs="Times New Roman"/>
        </w:rPr>
        <w:t xml:space="preserve">06030 Agencija za plaćanja u poljoprivredi, ribarstvu i ruralnom razvoju</w:t>
      </w:r>
    </w:p>
    <w:p>
      <w:pPr>
        <w:jc w:val="both"/>
        <w:pStyle w:val="Normal"/>
      </w:pPr>
      <w:r>
        <w:rPr>
          <w:rFonts w:hAnsi="Times New Roman" w:cs="Times New Roman"/>
        </w:rPr>
        <w:t xml:space="preserve">Agencija za plaćanja u poljoprivredi, ribarstvu i ruralnom razvoju (APPRRR) osnovana je Zakonom o osnivanju Agencije za plaćanja Agencije za plaćanja u poljoprivredi, ribarstvu i ruralnom razvoju (NN30/09, 56/13).
</w:t>
      </w:r>
    </w:p>
    <w:p>
      <w:pPr>
        <w:jc w:val="both"/>
        <w:pStyle w:val="Normal"/>
      </w:pPr>
      <w:r>
        <w:rPr>
          <w:rFonts w:hAnsi="Times New Roman" w:cs="Times New Roman"/>
        </w:rPr>
        <w:t xml:space="preserve">Agencija za plaćanja u poljoprivredi, ribarstvu i ruralnom razvoju je javno tijelo nadležno za operativnu provedbu intervencija izravne potpore, intervencija ruralnog razvoja, mjera za pomorstvo i ribarstvo (u dijelu delegiranih funkcija), sektorskih intervencija, nacionalnih programa potpore i ostalih tržišnih potpora, za vođenje upisnika i registara te održavanje i korištenje Integriranog administrativnog i kontrolnog sustava (IAKS) preko kojeg se zaprimaju, obrađuju i kontroliraju izravna plaćanja poljoprivrednicima. 
</w:t>
      </w:r>
    </w:p>
    <w:p>
      <w:pPr>
        <w:jc w:val="both"/>
        <w:pStyle w:val="Normal"/>
      </w:pPr>
      <w:r>
        <w:rPr>
          <w:rFonts w:hAnsi="Times New Roman" w:cs="Times New Roman"/>
        </w:rPr>
        <w:t xml:space="preserve">U 2025.g. Agencija za plaćanja u poljoprivredi, ribarstvu i ruralnom razvoju provodila je svoje zadaće vezane uz provedbu Zajedničke poljoprivredne politike i Zajedničke ribarstvene politike, kao i poslove vođenja, ažuriranja upisnika i registira u svojoj nadležnosti.
</w:t>
      </w:r>
    </w:p>
    <w:p>
      <w:pPr>
        <w:jc w:val="both"/>
        <w:pStyle w:val="Normal"/>
      </w:pPr>
      <w:r>
        <w:rPr>
          <w:rFonts w:hAnsi="Times New Roman" w:cs="Times New Roman"/>
        </w:rPr>
        <w:t xml:space="preserve">U 2025.g. imali smo jedanu Izmjenu i dopunu Državnog proračuna Republike Hrvatske (rebalans NN 134/2025 od 30.10.2025.g.). Navedenim rebalansom Agencija za plaćanja u poljoprivredi, ribarstvu i ruralnom razvoju je "uštedjela" ukupno 1.956.308 eura. Najvećim dijelom zbog nerealiziranih planiranih javnih nabava u 2025.g.
</w:t>
      </w:r>
    </w:p>
    <w:p>
      <w:pPr>
        <w:jc w:val="both"/>
        <w:pStyle w:val="Normal"/>
      </w:pPr>
      <w:r>
        <w:rPr>
          <w:rFonts w:hAnsi="Times New Roman" w:cs="Times New Roman"/>
        </w:rPr>
        <w:t xml:space="preserve">Ukupan iznos planiranih rashoda na svim izvorima iznosio je 46.647.186 eura, a realizirano je 45.523.213,68 eura odnosno 97,6% planiranog. 
</w:t>
      </w:r>
    </w:p>
    <w:p>
      <w:pPr>
        <w:jc w:val="both"/>
        <w:pStyle w:val="Normal"/>
      </w:pPr>
      <w:r>
        <w:rPr>
          <w:rFonts w:hAnsi="Times New Roman" w:cs="Times New Roman"/>
        </w:rPr>
        <w:t xml:space="preserve">Na izvoru 11, Opći prihodi i primici, realizacija iznosi 99,31%, dok je na izvoru 12 Sredstva učešća za pomoći realizacija 99,83% planiranog.
</w:t>
      </w:r>
    </w:p>
    <w:p>
      <w:pPr>
        <w:jc w:val="both"/>
        <w:pStyle w:val="Normal"/>
      </w:pPr>
      <w:r>
        <w:rPr>
          <w:rFonts w:hAnsi="Times New Roman" w:cs="Times New Roman"/>
        </w:rPr>
        <w:t xml:space="preserve">Manja realizacija od planirane ostvarena je na izvoru 31 Vlastiti prihod. Razlog smanjene realizacije je zatvaranje internog kafića u mjesecu kolovozu 2025.g. zbog nedostatka radne snage. Interni kafić ostao je zatvoren do kraja godine.
</w:t>
      </w:r>
    </w:p>
    <w:p>
      <w:pPr>
        <w:jc w:val="both"/>
        <w:pStyle w:val="Normal"/>
      </w:pPr>
      <w:r>
        <w:rPr>
          <w:rFonts w:hAnsi="Times New Roman" w:cs="Times New Roman"/>
        </w:rPr>
        <w:t xml:space="preserve">Izvor 51 Pomoći EU bilježi najmanju realizaciju. Radi se o refundaciji sredstava za službena putovanja od strane EU.
</w:t>
      </w:r>
    </w:p>
    <w:p>
      <w:pPr>
        <w:jc w:val="both"/>
        <w:pStyle w:val="Normal"/>
      </w:pPr>
      <w:r>
        <w:rPr>
          <w:rFonts w:hAnsi="Times New Roman" w:cs="Times New Roman"/>
        </w:rPr>
        <w:t xml:space="preserve">Smanjena realizacija proračuna u odnosu na planiranu evidentna je i na aktivnosti A841010 Tehnička pomoć – Program za ribarstvo i akvakulturu RH za 2021.-2027., izvor 564. Dio zaposlenika iz Službe za analizu u ribarstvu bio je na ispomoći u Službi za javnu nabavu i radio na mjerama iz Programa ruralnog razvoja, stoga je planirani iznos realiziran samo sa 49,95%. Zbog smanjenog broja ljudi nisu se organizirala planirana studijska  putovanja. 
</w:t>
      </w:r>
    </w:p>
    <w:p>
      <w:pPr>
        <w:jc w:val="both"/>
        <w:pStyle w:val="Normal"/>
      </w:pPr>
      <w:r>
        <w:rPr>
          <w:rFonts w:hAnsi="Times New Roman" w:cs="Times New Roman"/>
        </w:rPr>
        <w:t xml:space="preserve">
</w:t>
      </w:r>
    </w:p>
    <w:p>
      <w:pPr>
        <w:jc w:val="both"/>
        <w:pStyle w:val="Normal"/>
      </w:pPr>
      <w:r>
        <w:rPr>
          <w:rFonts w:hAnsi="Times New Roman" w:cs="Times New Roman"/>
        </w:rPr>
        <w:t xml:space="preserve">Nastavilo se s provedbom novog programskog razdoblja utemeljenog na Strateškom planu Zajedničke poljoprivredne politike Republike Hrvatske 2023.-2027. godine i paralelno s provedbom mjera iz prethodnog programskog razdoblja, odnosno Programa ruralnog razvoja Republike Hrvatske za razdoblje 2014.–2020. godine. 
</w:t>
      </w:r>
    </w:p>
    <w:p>
      <w:pPr>
        <w:jc w:val="both"/>
        <w:pStyle w:val="Normal"/>
      </w:pPr>
      <w:r>
        <w:rPr>
          <w:rFonts w:hAnsi="Times New Roman" w:cs="Times New Roman"/>
        </w:rPr>
        <w:t xml:space="preserve">U 2025. godini je zaprimljeno 97.867 zahtjeva za izravne potpore i IAKS mjere ruralnog razvoja te je za zaprimljene zahtjeve u 2025. godini isplaćeno preko 232 milijuna eura. Tijekom 2025. godine isplaćene su i potpore po zahtjevima za prethodnu proizvodnu godinu (2024.)  u iznosu od 272,9 milijuna eura, od čega za izravne potpore 172,9 milijuna eura, a za IAKS mjere ruralnog razvoja 100 milijuna eura. U okviru potpora ruralnom razvoju odobreno je ukupno 18.616 zahtjeva ukupnog iznosa 304,1 milijuna eura. U 2025. godini Agencija za plaćanja u poljoprivredi, ribarstvu i ruralnom razvoju uspješno je završila s provedbom Programa ruralnog razvoja Republike Hrvatske za razdoblje 2024.- 2020. godine te je ukupna iskorištenost raspoložive alokacije dosegnula 97,34%. Za sektorske intervencije, nacionalne programe potpore i ostale tržišne potpore, uključujući Nacionalni program pomoći u sektoru vina i Program sufinanciranja regionalnih organizacija vinara i vinogradara 2024.-2026. godine tijekom 2025. godine isplaćeno je ukupno 79,4 milijuna eura potpore. U sklopu provedbe Operativnog programa za pomorstvo i ribarstvo, APPRRR je i u 2025. godini provodio funkcije delegirane od strane Upravljačkog tijela koje obuhvaćaju tehničke i ekonomske analize te funkcije plaćanja. Tijekom godine za sektor ribarstva izvršene su isplate u ukupnom iznosu od 65,7 milijuna eura. 
</w:t>
      </w:r>
    </w:p>
    <w:p>
      <w:pPr>
        <w:jc w:val="both"/>
        <w:pStyle w:val="Normal"/>
      </w:pPr>
      <w:r>
        <w:rPr>
          <w:rFonts w:hAnsi="Times New Roman" w:cs="Times New Roman"/>
        </w:rPr>
        <w:t xml:space="preserve">U cilju osiguranja operativnih i funkcionalnih registara koji se koriste prilikom kontrole zahtjeva za potpore Agencija za plaćanja u poljoprivredi, ribarstvu i ruralnom razvoju je provodila njihova redovna ažuriranja, nadogradnje i kontrolu kvalitete podataka.  
</w:t>
      </w:r>
    </w:p>
    <w:p>
      <w:pPr>
        <w:jc w:val="both"/>
        <w:pStyle w:val="Normal"/>
      </w:pPr>
      <w:r>
        <w:rPr>
          <w:rFonts w:hAnsi="Times New Roman" w:cs="Times New Roman"/>
        </w:rPr>
        <w:t xml:space="preserve">Agencija za plaćanja u poljoprivredi, ribarstvu i ruralnom razvoju će i u budućnosti kontinuirano voditi brigu o pravovremenoj obradi svih zaprimljenih zahtjeva i isplati potpora kako bi pospješila unaprjeđenje životnog standarda hrvatskih poljoprivrednika i ribara uz očuvanje te kontinuiran i uravnotežen razvoj ruralnih prostora.
</w:t>
      </w:r>
    </w:p>
    <w:p>
      <w:pPr>
        <w:jc w:val="both"/>
        <w:pStyle w:val="Normal"/>
      </w:pPr>
      <w:r>
        <w:rPr>
          <w:rFonts w:hAnsi="Times New Roman" w:cs="Times New Roman"/>
        </w:rPr>
        <w:t xml:space="preserve">Ukupne obveze Agencije za plaćanja u poljoprivredi, ribarstvu i ruralnom razvoju na dan 31.12.2025. godine iznose 3.048.310,96 eura. Nema dospjelih obveza.
</w:t>
      </w:r>
    </w:p>
    <w:p>
      <w:pPr>
        <w:jc w:val="both"/>
        <w:pStyle w:val="Normal"/>
      </w:pPr>
      <w:r>
        <w:rPr>
          <w:rFonts w:hAnsi="Times New Roman" w:cs="Times New Roman"/>
        </w:rPr>
        <w:t xml:space="preserve">U izvanbilančnoj evidenciji evidentirano je: 
</w:t>
      </w:r>
    </w:p>
    <w:p>
      <w:pPr>
        <w:jc w:val="both"/>
        <w:pStyle w:val="Normal"/>
      </w:pPr>
      <w:r>
        <w:rPr>
          <w:rFonts w:hAnsi="Times New Roman" w:cs="Times New Roman"/>
        </w:rPr>
        <w:t xml:space="preserve">-	Instrumenti osiguranja plaćanja (jamstva) =1.535.175,06eura 
</w:t>
      </w:r>
    </w:p>
    <w:p>
      <w:pPr>
        <w:jc w:val="both"/>
        <w:pStyle w:val="Normal"/>
      </w:pPr>
      <w:r>
        <w:rPr>
          <w:rFonts w:hAnsi="Times New Roman" w:cs="Times New Roman"/>
        </w:rPr>
        <w:t xml:space="preserve">-	Potencijalne obveze po sudskim sporovima =14.649,75  eura. U tijeku je pet sporova i svi se vode pri Općinskom radnom sudu u Zagrebu. 
</w:t>
      </w:r>
    </w:p>
    <w:p>
      <w:pPr>
        <w:jc w:val="both"/>
        <w:pStyle w:val="Normal"/>
      </w:pPr>
      <w:r>
        <w:rPr>
          <w:rFonts w:hAnsi="Times New Roman" w:cs="Times New Roman"/>
        </w:rPr>
        <w:t xml:space="preserve"> -      Preuzete obveze po ugovorima o nabavi roba, radova i usluga = 2.371.085,80
</w:t>
      </w:r>
    </w:p>
    <w:p>
      <w:pPr>
        <w:jc w:val="both"/>
        <w:pStyle w:val="Normal"/>
      </w:pPr>
      <w:r>
        <w:rPr>
          <w:rFonts w:hAnsi="Times New Roman" w:cs="Times New Roman"/>
        </w:rPr>
        <w:t xml:space="preserve">-	Tuđa imovina dobivena na korištenje =2.206.772,52 eura.
</w:t>
      </w:r>
    </w:p>
    <w:p>
      <w:pPr>
        <w:jc w:val="both"/>
        <w:pStyle w:val="Normal"/>
      </w:pPr>
      <w:r>
        <w:rPr>
          <w:rFonts w:hAnsi="Times New Roman" w:cs="Times New Roman"/>
        </w:rPr>
        <w:t xml:space="preserve">Prijenos neutrošenih sredstava:
</w:t>
      </w:r>
    </w:p>
    <w:p>
      <w:pPr>
        <w:jc w:val="both"/>
        <w:pStyle w:val="Normal"/>
      </w:pPr>
      <w:r>
        <w:rPr>
          <w:rFonts w:hAnsi="Times New Roman" w:cs="Times New Roman"/>
        </w:rPr>
        <w:t xml:space="preserve">- izvor 31 - 3.505,48 eura
</w:t>
      </w:r>
    </w:p>
    <w:p>
      <w:pPr>
        <w:jc w:val="both"/>
        <w:pStyle w:val="Normal"/>
      </w:pPr>
      <w:r>
        <w:rPr>
          <w:rFonts w:hAnsi="Times New Roman" w:cs="Times New Roman"/>
        </w:rPr>
        <w:t xml:space="preserve">- izvor 51 - 1.105,90 eura.
</w:t>
      </w:r>
    </w:p>
    <w:p>
      <w:pPr>
        <w:jc w:val="both"/>
        <w:pStyle w:val="Normal"/>
      </w:pPr>
      <w:r>
        <w:rPr>
          <w:rFonts w:hAnsi="Times New Roman" w:cs="Times New Roman"/>
        </w:rPr>
        <w:t xml:space="preserve">- izvor 52 - 74.017,80 eura (CROLIS - LIFE)).</w:t>
      </w:r>
    </w:p>
    <w:tbl>
      <w:tblPr w:type="dxa">
        <w:tblStyle w:val="StilTablice"/>
        <w:tblW w:w="10206"/>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3096</w:gridCol>
        <w:gridCol>3096</w:gridCol>
        <w:gridCol>3096</w:gridCol>
        <w:gridCol>3096</w:gridCol>
        <w:gridCol>3096</w:gridCol>
        <w:gridCol>3096</w:gridCol>
      </w:tblGrid>
      <w:tr>
        <w:trPr>
          <w:cantSplit/>
        </w:trPr>
        <w:tc>
          <w:tcPr>
            <w:tcW w:w="1632.96" w:type="dxa"/>
            <w:vAlign w:val="center"/>
            <w:shd w:val="clear" w:color="auto" w:fill="b5c0d8"/>
          </w:tcPr>
          <w:p>
            <w:pPr>
              <w:jc w:val="center"/>
              <w:pStyle w:val="CellHeader"/>
            </w:pPr>
            <w:r>
              <w:rPr>
                <w:rFonts w:hAnsi="Times New Roman" w:cs="Times New Roman"/>
              </w:rPr>
              <w:t xml:space="preserve"/>
            </w:r>
          </w:p>
        </w:tc>
        <w:tc>
          <w:tcPr>
            <w:tcW w:w="2041.2" w:type="dxa"/>
            <w:vAlign w:val="center"/>
            <w:shd w:val="clear" w:color="auto" w:fill="b5c0d8"/>
          </w:tcPr>
          <w:p>
            <w:pPr>
              <w:jc w:val="center"/>
              <w:pStyle w:val="CellHeader"/>
            </w:pPr>
            <w:r>
              <w:rPr>
                <w:rFonts w:hAnsi="Times New Roman" w:cs="Times New Roman"/>
              </w:rPr>
              <w:t xml:space="preserve">Izvršenje 2024. (eur)</w:t>
            </w:r>
          </w:p>
        </w:tc>
        <w:tc>
          <w:tcPr>
            <w:tcW w:w="2041.2" w:type="dxa"/>
            <w:vAlign w:val="center"/>
            <w:shd w:val="clear" w:color="auto" w:fill="b5c0d8"/>
          </w:tcPr>
          <w:p>
            <w:pPr>
              <w:jc w:val="center"/>
              <w:pStyle w:val="CellHeader"/>
            </w:pPr>
            <w:r>
              <w:rPr>
                <w:rFonts w:hAnsi="Times New Roman" w:cs="Times New Roman"/>
              </w:rPr>
              <w:t xml:space="preserve">Plan 2025. (eur)</w:t>
            </w:r>
          </w:p>
        </w:tc>
        <w:tc>
          <w:tcPr>
            <w:tcW w:w="2041.2" w:type="dxa"/>
            <w:vAlign w:val="center"/>
            <w:shd w:val="clear" w:color="auto" w:fill="b5c0d8"/>
          </w:tcPr>
          <w:p>
            <w:pPr>
              <w:jc w:val="center"/>
              <w:pStyle w:val="CellHeader"/>
            </w:pPr>
            <w:r>
              <w:rPr>
                <w:rFonts w:hAnsi="Times New Roman" w:cs="Times New Roman"/>
              </w:rPr>
              <w:t xml:space="preserve">Izvršenje 2025. (eur)</w:t>
            </w:r>
          </w:p>
        </w:tc>
        <w:tc>
          <w:tcPr>
            <w:tcW w:w="1224.72" w:type="dxa"/>
            <w:vAlign w:val="center"/>
            <w:shd w:val="clear" w:color="auto" w:fill="b5c0d8"/>
          </w:tcPr>
          <w:p>
            <w:pPr>
              <w:jc w:val="center"/>
              <w:pStyle w:val="CellHeader"/>
            </w:pPr>
            <w:r>
              <w:rPr>
                <w:rFonts w:hAnsi="Times New Roman" w:cs="Times New Roman"/>
              </w:rPr>
              <w:t xml:space="preserve">Indeks izvršenje 2025./plan 2025.</w:t>
            </w:r>
          </w:p>
        </w:tc>
        <w:tc>
          <w:tcPr>
            <w:tcW w:w="1224.72" w:type="dxa"/>
            <w:vAlign w:val="center"/>
            <w:shd w:val="clear" w:color="auto" w:fill="b5c0d8"/>
          </w:tcPr>
          <w:p>
            <w:pPr>
              <w:jc w:val="center"/>
              <w:pStyle w:val="CellHeader"/>
            </w:pPr>
            <w:r>
              <w:rPr>
                <w:rFonts w:hAnsi="Times New Roman" w:cs="Times New Roman"/>
              </w:rPr>
              <w:t xml:space="preserve">Indeks izvršenje 2025./2024.</w:t>
            </w:r>
          </w:p>
        </w:tc>
      </w:tr>
      <w:tr>
        <w:trPr>
          <w:cantSplit/>
        </w:trPr>
        <w:tc>
          <w:tcPr>
            <w:tcW w:w="1632.96" w:type="dxa"/>
            <w:vAlign w:val="top"/>
          </w:tcPr>
          <w:p>
            <w:pPr>
              <w:jc w:val="left"/>
              <w:pStyle w:val="CellColumn"/>
            </w:pPr>
            <w:r>
              <w:rPr>
                <w:rFonts w:hAnsi="Times New Roman" w:cs="Times New Roman"/>
              </w:rPr>
              <w:t xml:space="preserve">06030-Agencija za plaćanja u poljoprivredi, ribarstvu i ruralnom razvoju</w:t>
            </w:r>
          </w:p>
        </w:tc>
        <w:tc>
          <w:tcPr>
            <w:tcW w:w="2041.2" w:type="dxa"/>
            <w:vAlign w:val="top"/>
          </w:tcPr>
          <w:p>
            <w:pPr>
              <w:jc w:val="right"/>
              <w:pStyle w:val="CellColumn"/>
            </w:pPr>
            <w:r>
              <w:rPr>
                <w:rFonts w:hAnsi="Times New Roman" w:cs="Times New Roman"/>
              </w:rPr>
              <w:t xml:space="preserve">40.119.988</w:t>
            </w:r>
          </w:p>
        </w:tc>
        <w:tc>
          <w:tcPr>
            <w:tcW w:w="2041.2" w:type="dxa"/>
            <w:vAlign w:val="top"/>
          </w:tcPr>
          <w:p>
            <w:pPr>
              <w:jc w:val="right"/>
              <w:pStyle w:val="CellColumn"/>
            </w:pPr>
            <w:r>
              <w:rPr>
                <w:rFonts w:hAnsi="Times New Roman" w:cs="Times New Roman"/>
              </w:rPr>
              <w:t xml:space="preserve">46.647.186</w:t>
            </w:r>
          </w:p>
        </w:tc>
        <w:tc>
          <w:tcPr>
            <w:tcW w:w="2041.2" w:type="dxa"/>
            <w:vAlign w:val="top"/>
          </w:tcPr>
          <w:p>
            <w:pPr>
              <w:jc w:val="right"/>
              <w:pStyle w:val="CellColumn"/>
            </w:pPr>
            <w:r>
              <w:rPr>
                <w:rFonts w:hAnsi="Times New Roman" w:cs="Times New Roman"/>
              </w:rPr>
              <w:t xml:space="preserve">45.523.214</w:t>
            </w:r>
          </w:p>
        </w:tc>
        <w:tc>
          <w:tcPr>
            <w:tcW w:w="1224.72" w:type="dxa"/>
            <w:vAlign w:val="top"/>
          </w:tcPr>
          <w:p>
            <w:pPr>
              <w:jc w:val="right"/>
              <w:pStyle w:val="CellColumn"/>
            </w:pPr>
            <w:r>
              <w:rPr>
                <w:rFonts w:hAnsi="Times New Roman" w:cs="Times New Roman"/>
              </w:rPr>
              <w:t xml:space="preserve">97,6</w:t>
            </w:r>
          </w:p>
        </w:tc>
        <w:tc>
          <w:tcPr>
            <w:tcW w:w="1224.72" w:type="dxa"/>
            <w:vAlign w:val="top"/>
          </w:tcPr>
          <w:p>
            <w:pPr>
              <w:jc w:val="right"/>
              <w:pStyle w:val="CellColumn"/>
            </w:pPr>
            <w:r>
              <w:rPr>
                <w:rFonts w:hAnsi="Times New Roman" w:cs="Times New Roman"/>
              </w:rPr>
              <w:t xml:space="preserve">113,5</w:t>
            </w:r>
          </w:p>
        </w:tc>
      </w:tr>
      <w:tr>
        <w:trPr>
          <w:cantSplit/>
        </w:trPr>
        <w:tc>
          <w:tcPr>
            <w:tcW w:w="1632.96" w:type="dxa"/>
            <w:vAlign w:val="center"/>
          </w:tcPr>
          <w:p>
            <w:pPr>
              <w:jc w:val="left"/>
              <w:pStyle w:val="CellColumnSmall"/>
            </w:pPr>
            <w:r>
              <w:rPr>
                <w:rFonts w:hAnsi="Times New Roman" w:cs="Times New Roman"/>
              </w:rPr>
              <w:t xml:space="preserve">3001-UPRAVLJANJE POLJOPRIVREDOM, RIBARSTVOM I RURALNIM RAZVOJEM</w:t>
            </w:r>
          </w:p>
        </w:tc>
        <w:tc>
          <w:tcPr>
            <w:tcW w:w="2041.2" w:type="dxa"/>
            <w:vAlign w:val="center"/>
          </w:tcPr>
          <w:p>
            <w:pPr>
              <w:jc w:val="right"/>
              <w:pStyle w:val="CellColumnSmall"/>
            </w:pPr>
            <w:r>
              <w:rPr>
                <w:rFonts w:hAnsi="Times New Roman" w:cs="Times New Roman"/>
              </w:rPr>
              <w:t xml:space="preserve">25.572.633</w:t>
            </w:r>
          </w:p>
        </w:tc>
        <w:tc>
          <w:tcPr>
            <w:tcW w:w="2041.2" w:type="dxa"/>
            <w:vAlign w:val="center"/>
          </w:tcPr>
          <w:p>
            <w:pPr>
              <w:jc w:val="right"/>
              <w:pStyle w:val="CellColumnSmall"/>
            </w:pPr>
            <w:r>
              <w:rPr>
                <w:rFonts w:hAnsi="Times New Roman" w:cs="Times New Roman"/>
              </w:rPr>
              <w:t xml:space="preserve">33.803.428</w:t>
            </w:r>
          </w:p>
        </w:tc>
        <w:tc>
          <w:tcPr>
            <w:tcW w:w="2041.2" w:type="dxa"/>
            <w:vAlign w:val="center"/>
          </w:tcPr>
          <w:p>
            <w:pPr>
              <w:jc w:val="right"/>
              <w:pStyle w:val="CellColumnSmall"/>
            </w:pPr>
            <w:r>
              <w:rPr>
                <w:rFonts w:hAnsi="Times New Roman" w:cs="Times New Roman"/>
              </w:rPr>
              <w:t xml:space="preserve">33.476.035</w:t>
            </w:r>
          </w:p>
        </w:tc>
        <w:tc>
          <w:tcPr>
            <w:tcW w:w="1224.72" w:type="dxa"/>
            <w:vAlign w:val="center"/>
          </w:tcPr>
          <w:p>
            <w:pPr>
              <w:jc w:val="right"/>
              <w:pStyle w:val="CellColumnSmall"/>
            </w:pPr>
            <w:r>
              <w:rPr>
                <w:rFonts w:hAnsi="Times New Roman" w:cs="Times New Roman"/>
              </w:rPr>
              <w:t xml:space="preserve">99,0</w:t>
            </w:r>
          </w:p>
        </w:tc>
        <w:tc>
          <w:tcPr>
            <w:tcW w:w="1224.72" w:type="dxa"/>
            <w:vAlign w:val="center"/>
          </w:tcPr>
          <w:p>
            <w:pPr>
              <w:jc w:val="right"/>
              <w:pStyle w:val="CellColumnSmall"/>
            </w:pPr>
            <w:r>
              <w:rPr>
                <w:rFonts w:hAnsi="Times New Roman" w:cs="Times New Roman"/>
              </w:rPr>
              <w:t xml:space="preserve">130,9</w:t>
            </w:r>
          </w:p>
        </w:tc>
      </w:tr>
      <w:tr>
        <w:trPr>
          <w:cantSplit/>
        </w:trPr>
        <w:tc>
          <w:tcPr>
            <w:tcW w:w="1632.96" w:type="dxa"/>
            <w:vAlign w:val="center"/>
          </w:tcPr>
          <w:p>
            <w:pPr>
              <w:jc w:val="left"/>
              <w:pStyle w:val="CellColumnSmall"/>
            </w:pPr>
            <w:r>
              <w:rPr>
                <w:rFonts w:hAnsi="Times New Roman" w:cs="Times New Roman"/>
              </w:rPr>
              <w:t xml:space="preserve">3004-RURALNI RAZVOJ</w:t>
            </w:r>
          </w:p>
        </w:tc>
        <w:tc>
          <w:tcPr>
            <w:tcW w:w="2041.2" w:type="dxa"/>
            <w:vAlign w:val="center"/>
          </w:tcPr>
          <w:p>
            <w:pPr>
              <w:jc w:val="right"/>
              <w:pStyle w:val="CellColumnSmall"/>
            </w:pPr>
            <w:r>
              <w:rPr>
                <w:rFonts w:hAnsi="Times New Roman" w:cs="Times New Roman"/>
              </w:rPr>
              <w:t xml:space="preserve">14.287.416</w:t>
            </w:r>
          </w:p>
        </w:tc>
        <w:tc>
          <w:tcPr>
            <w:tcW w:w="2041.2" w:type="dxa"/>
            <w:vAlign w:val="center"/>
          </w:tcPr>
          <w:p>
            <w:pPr>
              <w:jc w:val="right"/>
              <w:pStyle w:val="CellColumnSmall"/>
            </w:pPr>
            <w:r>
              <w:rPr>
                <w:rFonts w:hAnsi="Times New Roman" w:cs="Times New Roman"/>
              </w:rPr>
              <w:t xml:space="preserve">12.220.286</w:t>
            </w:r>
          </w:p>
        </w:tc>
        <w:tc>
          <w:tcPr>
            <w:tcW w:w="2041.2" w:type="dxa"/>
            <w:vAlign w:val="center"/>
          </w:tcPr>
          <w:p>
            <w:pPr>
              <w:jc w:val="right"/>
              <w:pStyle w:val="CellColumnSmall"/>
            </w:pPr>
            <w:r>
              <w:rPr>
                <w:rFonts w:hAnsi="Times New Roman" w:cs="Times New Roman"/>
              </w:rPr>
              <w:t xml:space="preserve">11.735.726</w:t>
            </w:r>
          </w:p>
        </w:tc>
        <w:tc>
          <w:tcPr>
            <w:tcW w:w="1224.72" w:type="dxa"/>
            <w:vAlign w:val="center"/>
          </w:tcPr>
          <w:p>
            <w:pPr>
              <w:jc w:val="right"/>
              <w:pStyle w:val="CellColumnSmall"/>
            </w:pPr>
            <w:r>
              <w:rPr>
                <w:rFonts w:hAnsi="Times New Roman" w:cs="Times New Roman"/>
              </w:rPr>
              <w:t xml:space="preserve">96,0</w:t>
            </w:r>
          </w:p>
        </w:tc>
        <w:tc>
          <w:tcPr>
            <w:tcW w:w="1224.72" w:type="dxa"/>
            <w:vAlign w:val="center"/>
          </w:tcPr>
          <w:p>
            <w:pPr>
              <w:jc w:val="right"/>
              <w:pStyle w:val="CellColumnSmall"/>
            </w:pPr>
            <w:r>
              <w:rPr>
                <w:rFonts w:hAnsi="Times New Roman" w:cs="Times New Roman"/>
              </w:rPr>
              <w:t xml:space="preserve">82,1</w:t>
            </w:r>
          </w:p>
        </w:tc>
      </w:tr>
      <w:tr>
        <w:trPr>
          <w:cantSplit/>
        </w:trPr>
        <w:tc>
          <w:tcPr>
            <w:tcW w:w="1632.96" w:type="dxa"/>
            <w:vAlign w:val="center"/>
          </w:tcPr>
          <w:p>
            <w:pPr>
              <w:jc w:val="left"/>
              <w:pStyle w:val="CellColumnSmall"/>
            </w:pPr>
            <w:r>
              <w:rPr>
                <w:rFonts w:hAnsi="Times New Roman" w:cs="Times New Roman"/>
              </w:rPr>
              <w:t xml:space="preserve">3005-RIBARSTVO</w:t>
            </w:r>
          </w:p>
        </w:tc>
        <w:tc>
          <w:tcPr>
            <w:tcW w:w="2041.2" w:type="dxa"/>
            <w:vAlign w:val="center"/>
          </w:tcPr>
          <w:p>
            <w:pPr>
              <w:jc w:val="right"/>
              <w:pStyle w:val="CellColumnSmall"/>
            </w:pPr>
            <w:r>
              <w:rPr>
                <w:rFonts w:hAnsi="Times New Roman" w:cs="Times New Roman"/>
              </w:rPr>
              <w:t xml:space="preserve">259.940</w:t>
            </w:r>
          </w:p>
        </w:tc>
        <w:tc>
          <w:tcPr>
            <w:tcW w:w="2041.2" w:type="dxa"/>
            <w:vAlign w:val="center"/>
          </w:tcPr>
          <w:p>
            <w:pPr>
              <w:jc w:val="right"/>
              <w:pStyle w:val="CellColumnSmall"/>
            </w:pPr>
            <w:r>
              <w:rPr>
                <w:rFonts w:hAnsi="Times New Roman" w:cs="Times New Roman"/>
              </w:rPr>
              <w:t xml:space="preserve">623.472</w:t>
            </w:r>
          </w:p>
        </w:tc>
        <w:tc>
          <w:tcPr>
            <w:tcW w:w="2041.2" w:type="dxa"/>
            <w:vAlign w:val="center"/>
          </w:tcPr>
          <w:p>
            <w:pPr>
              <w:jc w:val="right"/>
              <w:pStyle w:val="CellColumnSmall"/>
            </w:pPr>
            <w:r>
              <w:rPr>
                <w:rFonts w:hAnsi="Times New Roman" w:cs="Times New Roman"/>
              </w:rPr>
              <w:t xml:space="preserve">311.453</w:t>
            </w:r>
          </w:p>
        </w:tc>
        <w:tc>
          <w:tcPr>
            <w:tcW w:w="1224.72" w:type="dxa"/>
            <w:vAlign w:val="center"/>
          </w:tcPr>
          <w:p>
            <w:pPr>
              <w:jc w:val="right"/>
              <w:pStyle w:val="CellColumnSmall"/>
            </w:pPr>
            <w:r>
              <w:rPr>
                <w:rFonts w:hAnsi="Times New Roman" w:cs="Times New Roman"/>
              </w:rPr>
              <w:t xml:space="preserve">50,0</w:t>
            </w:r>
          </w:p>
        </w:tc>
        <w:tc>
          <w:tcPr>
            <w:tcW w:w="1224.72" w:type="dxa"/>
            <w:vAlign w:val="center"/>
          </w:tcPr>
          <w:p>
            <w:pPr>
              <w:jc w:val="right"/>
              <w:pStyle w:val="CellColumnSmall"/>
            </w:pPr>
            <w:r>
              <w:rPr>
                <w:rFonts w:hAnsi="Times New Roman" w:cs="Times New Roman"/>
              </w:rPr>
              <w:t xml:space="preserve">119,8</w:t>
            </w:r>
          </w:p>
        </w:tc>
      </w:tr>
    </w:tbl>
    <w:p>
      <w:pPr>
        <w:jc w:val="left"/>
      </w:pPr>
      <w:r>
        <w:rPr>
          <w:rFonts w:hAnsi="Times New Roman" w:cs="Times New Roman"/>
        </w:rPr>
        <w:t xml:space="preserve"/>
      </w:r>
    </w:p>
    <w:p>
      <w:pPr>
        <w:jc w:val="left"/>
        <w:pStyle w:val="Heading3"/>
      </w:pPr>
      <w:r>
        <w:rPr>
          <w:rFonts w:hAnsi="Times New Roman" w:cs="Times New Roman"/>
        </w:rPr>
        <w:t xml:space="preserve">3001 UPRAVLJANJE POLJOPRIVREDOM, RIBARSTVOM I RURALNIM RAZVOJEM</w:t>
      </w:r>
    </w:p>
    <w:tbl>
      <w:tblPr w:type="dxa">
        <w:tblStyle w:val="StilTablice"/>
        <w:tblW w:w="10206"/>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3096</w:gridCol>
        <w:gridCol>3096</w:gridCol>
        <w:gridCol>3096</w:gridCol>
        <w:gridCol>3096</w:gridCol>
        <w:gridCol>3096</w:gridCol>
        <w:gridCol>3096</w:gridCol>
      </w:tblGrid>
      <w:tr>
        <w:trPr>
          <w:cantSplit/>
        </w:trPr>
        <w:tc>
          <w:tcPr>
            <w:tcW w:w="1632.96" w:type="dxa"/>
            <w:vAlign w:val="center"/>
            <w:shd w:val="clear" w:color="auto" w:fill="b5c0d8"/>
          </w:tcPr>
          <w:p>
            <w:pPr>
              <w:jc w:val="center"/>
              <w:pStyle w:val="CellHeader"/>
            </w:pPr>
            <w:r>
              <w:rPr>
                <w:rFonts w:hAnsi="Times New Roman" w:cs="Times New Roman"/>
              </w:rPr>
              <w:t xml:space="preserve"/>
            </w:r>
          </w:p>
        </w:tc>
        <w:tc>
          <w:tcPr>
            <w:tcW w:w="2041.2" w:type="dxa"/>
            <w:vAlign w:val="center"/>
            <w:shd w:val="clear" w:color="auto" w:fill="b5c0d8"/>
          </w:tcPr>
          <w:p>
            <w:pPr>
              <w:jc w:val="center"/>
              <w:pStyle w:val="CellHeader"/>
            </w:pPr>
            <w:r>
              <w:rPr>
                <w:rFonts w:hAnsi="Times New Roman" w:cs="Times New Roman"/>
              </w:rPr>
              <w:t xml:space="preserve">Izvršenje 2024. (eur)</w:t>
            </w:r>
          </w:p>
        </w:tc>
        <w:tc>
          <w:tcPr>
            <w:tcW w:w="2041.2" w:type="dxa"/>
            <w:vAlign w:val="center"/>
            <w:shd w:val="clear" w:color="auto" w:fill="b5c0d8"/>
          </w:tcPr>
          <w:p>
            <w:pPr>
              <w:jc w:val="center"/>
              <w:pStyle w:val="CellHeader"/>
            </w:pPr>
            <w:r>
              <w:rPr>
                <w:rFonts w:hAnsi="Times New Roman" w:cs="Times New Roman"/>
              </w:rPr>
              <w:t xml:space="preserve">Plan 2025. (eur)</w:t>
            </w:r>
          </w:p>
        </w:tc>
        <w:tc>
          <w:tcPr>
            <w:tcW w:w="2041.2" w:type="dxa"/>
            <w:vAlign w:val="center"/>
            <w:shd w:val="clear" w:color="auto" w:fill="b5c0d8"/>
          </w:tcPr>
          <w:p>
            <w:pPr>
              <w:jc w:val="center"/>
              <w:pStyle w:val="CellHeader"/>
            </w:pPr>
            <w:r>
              <w:rPr>
                <w:rFonts w:hAnsi="Times New Roman" w:cs="Times New Roman"/>
              </w:rPr>
              <w:t xml:space="preserve">Izvršenje 2025. (eur)</w:t>
            </w:r>
          </w:p>
        </w:tc>
        <w:tc>
          <w:tcPr>
            <w:tcW w:w="1224.72" w:type="dxa"/>
            <w:vAlign w:val="center"/>
            <w:shd w:val="clear" w:color="auto" w:fill="b5c0d8"/>
          </w:tcPr>
          <w:p>
            <w:pPr>
              <w:jc w:val="center"/>
              <w:pStyle w:val="CellHeader"/>
            </w:pPr>
            <w:r>
              <w:rPr>
                <w:rFonts w:hAnsi="Times New Roman" w:cs="Times New Roman"/>
              </w:rPr>
              <w:t xml:space="preserve">Indeks izvršenje 2025./plan 2025.</w:t>
            </w:r>
          </w:p>
        </w:tc>
        <w:tc>
          <w:tcPr>
            <w:tcW w:w="1224.72" w:type="dxa"/>
            <w:vAlign w:val="center"/>
            <w:shd w:val="clear" w:color="auto" w:fill="b5c0d8"/>
          </w:tcPr>
          <w:p>
            <w:pPr>
              <w:jc w:val="center"/>
              <w:pStyle w:val="CellHeader"/>
            </w:pPr>
            <w:r>
              <w:rPr>
                <w:rFonts w:hAnsi="Times New Roman" w:cs="Times New Roman"/>
              </w:rPr>
              <w:t xml:space="preserve">Index izvršenje 2025./2024.</w:t>
            </w:r>
          </w:p>
        </w:tc>
      </w:tr>
      <w:tr>
        <w:trPr>
          <w:cantSplit/>
        </w:trPr>
        <w:tc>
          <w:tcPr>
            <w:tcW w:w="1632.96" w:type="dxa"/>
            <w:vAlign w:val="center"/>
          </w:tcPr>
          <w:p>
            <w:pPr>
              <w:jc w:val="left"/>
              <w:pStyle w:val="CellColumn"/>
            </w:pPr>
            <w:r>
              <w:rPr>
                <w:rFonts w:hAnsi="Times New Roman" w:cs="Times New Roman"/>
              </w:rPr>
              <w:t xml:space="preserve">3001-UPRAVLJANJE POLJOPRIVREDOM, RIBARSTVOM I RURALNIM RAZVOJEM</w:t>
            </w:r>
          </w:p>
        </w:tc>
        <w:tc>
          <w:tcPr>
            <w:tcW w:w="2041.2" w:type="dxa"/>
            <w:vAlign w:val="center"/>
          </w:tcPr>
          <w:p>
            <w:pPr>
              <w:jc w:val="right"/>
              <w:pStyle w:val="CellColumn"/>
            </w:pPr>
            <w:r>
              <w:rPr>
                <w:rFonts w:hAnsi="Times New Roman" w:cs="Times New Roman"/>
              </w:rPr>
              <w:t xml:space="preserve">25.572.633</w:t>
            </w:r>
          </w:p>
        </w:tc>
        <w:tc>
          <w:tcPr>
            <w:tcW w:w="2041.2" w:type="dxa"/>
            <w:vAlign w:val="center"/>
          </w:tcPr>
          <w:p>
            <w:pPr>
              <w:jc w:val="right"/>
              <w:pStyle w:val="CellColumn"/>
            </w:pPr>
            <w:r>
              <w:rPr>
                <w:rFonts w:hAnsi="Times New Roman" w:cs="Times New Roman"/>
              </w:rPr>
              <w:t xml:space="preserve">33.803.428</w:t>
            </w:r>
          </w:p>
        </w:tc>
        <w:tc>
          <w:tcPr>
            <w:tcW w:w="2041.2" w:type="dxa"/>
            <w:vAlign w:val="center"/>
          </w:tcPr>
          <w:p>
            <w:pPr>
              <w:jc w:val="right"/>
              <w:pStyle w:val="CellColumn"/>
            </w:pPr>
            <w:r>
              <w:rPr>
                <w:rFonts w:hAnsi="Times New Roman" w:cs="Times New Roman"/>
              </w:rPr>
              <w:t xml:space="preserve">33.476.035</w:t>
            </w:r>
          </w:p>
        </w:tc>
        <w:tc>
          <w:tcPr>
            <w:tcW w:w="1224.72" w:type="dxa"/>
            <w:vAlign w:val="center"/>
          </w:tcPr>
          <w:p>
            <w:pPr>
              <w:jc w:val="right"/>
              <w:pStyle w:val="CellColumn"/>
            </w:pPr>
            <w:r>
              <w:rPr>
                <w:rFonts w:hAnsi="Times New Roman" w:cs="Times New Roman"/>
              </w:rPr>
              <w:t xml:space="preserve">99,0</w:t>
            </w:r>
          </w:p>
        </w:tc>
        <w:tc>
          <w:tcPr>
            <w:tcW w:w="1224.72" w:type="dxa"/>
            <w:vAlign w:val="center"/>
          </w:tcPr>
          <w:p>
            <w:pPr>
              <w:jc w:val="right"/>
              <w:pStyle w:val="CellColumn"/>
            </w:pPr>
            <w:r>
              <w:rPr>
                <w:rFonts w:hAnsi="Times New Roman" w:cs="Times New Roman"/>
              </w:rPr>
              <w:t xml:space="preserve">130,9</w:t>
            </w:r>
          </w:p>
        </w:tc>
      </w:tr>
    </w:tbl>
    <w:p>
      <w:pPr>
        <w:jc w:val="left"/>
      </w:pPr>
      <w:r>
        <w:rPr>
          <w:rFonts w:hAnsi="Times New Roman" w:cs="Times New Roman"/>
        </w:rPr>
        <w:t xml:space="preserve"/>
      </w:r>
    </w:p>
    <w:p>
      <w:pPr>
        <w:jc w:val="both"/>
        <w:pStyle w:val="Normal"/>
      </w:pPr>
      <w:r>
        <w:rPr>
          <w:rFonts w:hAnsi="Times New Roman" w:cs="Times New Roman"/>
        </w:rPr>
        <w:t xml:space="preserve">Nakon dvogodišnjeg prijelaznog razdoblja 2021.-2022. godine, danom 1. siječnja 2023. godine započela provedba novog programskog razdoblja Zajedničke poljoprivredne politike 2023.-2027. godine. U novoj Zajedničkoj poljoprivrednoj politici EU-a, umjesto postojećih pravila i usklađenosti, naglasak je stavljen na rezultate i djelotvornost mjera. Državama članicama je ostavljeno da same odluče kako će najbolje ispuniti zajedničke ciljeve europske poljoprivredne politike, istovremeno odgovarajući na specifične potrebe svojih poljoprivrednika.  
</w:t>
      </w:r>
    </w:p>
    <w:p>
      <w:pPr>
        <w:jc w:val="both"/>
        <w:pStyle w:val="Normal"/>
      </w:pPr>
      <w:r>
        <w:rPr>
          <w:rFonts w:hAnsi="Times New Roman" w:cs="Times New Roman"/>
        </w:rPr>
        <w:t xml:space="preserve">ZPP-u za razdoblje 2021. – 2027. bit će dodijeljeno 387 milijardi EUR. Ta sredstva dolaze iz dva različita fonda: iz Europskog fonda za jamstva u poljoprivredi (EFJP), u iznosu od 291,1 milijarde EUR (u tekućim cijenama) i iz Europskog poljoprivrednog fonda za ruralni razvoj (EPFRR), u iznosu od 95,5 milijardi EUR. 
</w:t>
      </w:r>
    </w:p>
    <w:p>
      <w:pPr>
        <w:jc w:val="both"/>
        <w:pStyle w:val="Normal"/>
      </w:pPr>
      <w:r>
        <w:rPr>
          <w:rFonts w:hAnsi="Times New Roman" w:cs="Times New Roman"/>
        </w:rPr>
        <w:t xml:space="preserve"> 
</w:t>
      </w:r>
    </w:p>
    <w:p>
      <w:pPr>
        <w:jc w:val="both"/>
        <w:pStyle w:val="Normal"/>
      </w:pPr>
      <w:r>
        <w:rPr>
          <w:rFonts w:hAnsi="Times New Roman" w:cs="Times New Roman"/>
        </w:rPr>
        <w:t xml:space="preserve">Opći ciljevi Zajedničke poljoprivredne politike 2023.-2027. godine jesu sljedeći: 
</w:t>
      </w:r>
    </w:p>
    <w:p>
      <w:pPr>
        <w:jc w:val="both"/>
        <w:pStyle w:val="Normal"/>
      </w:pPr>
      <w:r>
        <w:rPr>
          <w:rFonts w:hAnsi="Times New Roman" w:cs="Times New Roman"/>
        </w:rPr>
        <w:t xml:space="preserve">•	Poticanje pametnog, konkurentnog, otpornog i diversificiranog sektora poljoprivrede kojim se osigurava dugoročna sigurnost opskrbe hranom, 
</w:t>
      </w:r>
    </w:p>
    <w:p>
      <w:pPr>
        <w:jc w:val="both"/>
        <w:pStyle w:val="Normal"/>
      </w:pPr>
      <w:r>
        <w:rPr>
          <w:rFonts w:hAnsi="Times New Roman" w:cs="Times New Roman"/>
        </w:rPr>
        <w:t xml:space="preserve">•	Podupiranje i jačanje zaštite okoliša, uključujući bioraznolikost i djelovanja u području klime te doprinos postizanju ciljeva Unije u području okoliša i klime, uključujući njezine obveze u okviru Pariškog sporazuma, 
</w:t>
      </w:r>
    </w:p>
    <w:p>
      <w:pPr>
        <w:jc w:val="both"/>
        <w:pStyle w:val="Normal"/>
      </w:pPr>
      <w:r>
        <w:rPr>
          <w:rFonts w:hAnsi="Times New Roman" w:cs="Times New Roman"/>
        </w:rPr>
        <w:t xml:space="preserve">•	Jačanje socioekonomske strukture ruralnih područja. 
</w:t>
      </w:r>
    </w:p>
    <w:p>
      <w:pPr>
        <w:jc w:val="both"/>
        <w:pStyle w:val="Normal"/>
      </w:pPr>
      <w:r>
        <w:rPr>
          <w:rFonts w:hAnsi="Times New Roman" w:cs="Times New Roman"/>
        </w:rPr>
        <w:t xml:space="preserve"> 
</w:t>
      </w:r>
    </w:p>
    <w:p>
      <w:pPr>
        <w:jc w:val="both"/>
        <w:pStyle w:val="Normal"/>
      </w:pPr>
      <w:r>
        <w:rPr>
          <w:rFonts w:hAnsi="Times New Roman" w:cs="Times New Roman"/>
        </w:rPr>
        <w:t xml:space="preserve">U okviru Zajedničke poljoprivredne politike 2023.-2027. godine određeno je devet (9) specifičnih ciljeva i jedan (1) horizontalni cilj kako slijedi: 
</w:t>
      </w:r>
    </w:p>
    <w:p>
      <w:pPr>
        <w:jc w:val="both"/>
        <w:pStyle w:val="Normal"/>
      </w:pPr>
      <w:r>
        <w:rPr>
          <w:rFonts w:hAnsi="Times New Roman" w:cs="Times New Roman"/>
        </w:rPr>
        <w:t xml:space="preserve">1.	Održivi dohodak, 
</w:t>
      </w:r>
    </w:p>
    <w:p>
      <w:pPr>
        <w:jc w:val="both"/>
        <w:pStyle w:val="Normal"/>
      </w:pPr>
      <w:r>
        <w:rPr>
          <w:rFonts w:hAnsi="Times New Roman" w:cs="Times New Roman"/>
        </w:rPr>
        <w:t xml:space="preserve">2.	Konkurentnost, 
</w:t>
      </w:r>
    </w:p>
    <w:p>
      <w:pPr>
        <w:jc w:val="both"/>
        <w:pStyle w:val="Normal"/>
      </w:pPr>
      <w:r>
        <w:rPr>
          <w:rFonts w:hAnsi="Times New Roman" w:cs="Times New Roman"/>
        </w:rPr>
        <w:t xml:space="preserve">3.	Lanac opskrbe hranom, 
</w:t>
      </w:r>
    </w:p>
    <w:p>
      <w:pPr>
        <w:jc w:val="both"/>
        <w:pStyle w:val="Normal"/>
      </w:pPr>
      <w:r>
        <w:rPr>
          <w:rFonts w:hAnsi="Times New Roman" w:cs="Times New Roman"/>
        </w:rPr>
        <w:t xml:space="preserve">4.	Klimatske promjene, 
</w:t>
      </w:r>
    </w:p>
    <w:p>
      <w:pPr>
        <w:jc w:val="both"/>
        <w:pStyle w:val="Normal"/>
      </w:pPr>
      <w:r>
        <w:rPr>
          <w:rFonts w:hAnsi="Times New Roman" w:cs="Times New Roman"/>
        </w:rPr>
        <w:t xml:space="preserve">5.	Okoliš, 
</w:t>
      </w:r>
    </w:p>
    <w:p>
      <w:pPr>
        <w:jc w:val="both"/>
        <w:pStyle w:val="Normal"/>
      </w:pPr>
      <w:r>
        <w:rPr>
          <w:rFonts w:hAnsi="Times New Roman" w:cs="Times New Roman"/>
        </w:rPr>
        <w:t xml:space="preserve">6.	Bioraznolikost, 
</w:t>
      </w:r>
    </w:p>
    <w:p>
      <w:pPr>
        <w:jc w:val="both"/>
        <w:pStyle w:val="Normal"/>
      </w:pPr>
      <w:r>
        <w:rPr>
          <w:rFonts w:hAnsi="Times New Roman" w:cs="Times New Roman"/>
        </w:rPr>
        <w:t xml:space="preserve">7.	Generacijska obnova, 
</w:t>
      </w:r>
    </w:p>
    <w:p>
      <w:pPr>
        <w:jc w:val="both"/>
        <w:pStyle w:val="Normal"/>
      </w:pPr>
      <w:r>
        <w:rPr>
          <w:rFonts w:hAnsi="Times New Roman" w:cs="Times New Roman"/>
        </w:rPr>
        <w:t xml:space="preserve">8.	Ruralna područja, 
</w:t>
      </w:r>
    </w:p>
    <w:p>
      <w:pPr>
        <w:jc w:val="both"/>
        <w:pStyle w:val="Normal"/>
      </w:pPr>
      <w:r>
        <w:rPr>
          <w:rFonts w:hAnsi="Times New Roman" w:cs="Times New Roman"/>
        </w:rPr>
        <w:t xml:space="preserve">9.	Hrana i dobrobit životinja, 
</w:t>
      </w:r>
    </w:p>
    <w:p>
      <w:pPr>
        <w:jc w:val="both"/>
        <w:pStyle w:val="Normal"/>
      </w:pPr>
      <w:r>
        <w:rPr>
          <w:rFonts w:hAnsi="Times New Roman" w:cs="Times New Roman"/>
        </w:rPr>
        <w:t xml:space="preserve">10.	Znanje i inovacije. 
</w:t>
      </w:r>
    </w:p>
    <w:p>
      <w:pPr>
        <w:jc w:val="both"/>
        <w:pStyle w:val="Normal"/>
      </w:pPr>
      <w:r>
        <w:rPr>
          <w:rFonts w:hAnsi="Times New Roman" w:cs="Times New Roman"/>
        </w:rPr>
        <w:t xml:space="preserve"> 
</w:t>
      </w:r>
    </w:p>
    <w:p>
      <w:pPr>
        <w:jc w:val="both"/>
        <w:pStyle w:val="Normal"/>
      </w:pPr>
      <w:r>
        <w:rPr>
          <w:rFonts w:hAnsi="Times New Roman" w:cs="Times New Roman"/>
        </w:rPr>
        <w:t xml:space="preserve">Sporazum o reformi zajedničke poljoprivredne politike (ZPP) službeno je donesen 2. prosinca 2021. Novim propisima, koji su stupili na snagu 1 siječnja 2023., omogućuje se pravedniji i zeleniji ZPP koji više vodi računa o uspješnosti. 
</w:t>
      </w:r>
    </w:p>
    <w:p>
      <w:pPr>
        <w:jc w:val="both"/>
        <w:pStyle w:val="Normal"/>
      </w:pPr>
      <w:r>
        <w:rPr>
          <w:rFonts w:hAnsi="Times New Roman" w:cs="Times New Roman"/>
        </w:rPr>
        <w:t xml:space="preserve"> 
</w:t>
      </w:r>
    </w:p>
    <w:p>
      <w:pPr>
        <w:jc w:val="both"/>
        <w:pStyle w:val="Normal"/>
      </w:pPr>
      <w:r>
        <w:rPr>
          <w:rFonts w:hAnsi="Times New Roman" w:cs="Times New Roman"/>
        </w:rPr>
        <w:t xml:space="preserve">Njima se nastoji osigurati održiva budućnost za europske poljoprivrednike, pružiti usmjerenija potpora manjim poljoprivrednim gospodarstvima i omogućiti veća fleksibilnost državama članicama EU-a u prilagodbi mjera lokalnim uvjetima. 
</w:t>
      </w:r>
    </w:p>
    <w:p>
      <w:pPr>
        <w:jc w:val="both"/>
        <w:pStyle w:val="Normal"/>
      </w:pPr>
      <w:r>
        <w:rPr>
          <w:rFonts w:hAnsi="Times New Roman" w:cs="Times New Roman"/>
        </w:rPr>
        <w:t xml:space="preserve">Agencija za plaćanja u poljoprivredi, ribarstvu i ruralnom razvoju nadležna je za operativnu provedbu intervencija izravne potpore, intervencija ruralnog razvoja, mjera za pomorstvo i ribarstvo, sektorskih intervencija, nacionalnih programa potpore i ostalih tržišnih potpora, potpora sektoru vinarstva, kao i vođenje upisnika i registara te održavanje i korištenje Integriranog administrativnog i kontrolnog sustava (IAKS).    
</w:t>
      </w:r>
    </w:p>
    <w:p>
      <w:pPr>
        <w:jc w:val="both"/>
        <w:pStyle w:val="Normal"/>
      </w:pPr>
      <w:r>
        <w:rPr>
          <w:rFonts w:hAnsi="Times New Roman" w:cs="Times New Roman"/>
        </w:rPr>
        <w:t xml:space="preserve">APPRRR provodi mjere Zajedničke poljoprivredne politike i Zajedničke ribarstvene politike koje se financiraju iz proračuna Republike Hrvatske i proračuna Europske unije te je dio sustava upravljanja i kontrole sljedećih fondova: 
</w:t>
      </w:r>
    </w:p>
    <w:p>
      <w:pPr>
        <w:jc w:val="both"/>
        <w:pStyle w:val="Normal"/>
      </w:pPr>
      <w:r>
        <w:rPr>
          <w:rFonts w:hAnsi="Times New Roman" w:cs="Times New Roman"/>
        </w:rPr>
        <w:t xml:space="preserve">•	Europskog fonda za jamstva u poljoprivredi (EFJP), 
</w:t>
      </w:r>
    </w:p>
    <w:p>
      <w:pPr>
        <w:jc w:val="both"/>
        <w:pStyle w:val="Normal"/>
      </w:pPr>
      <w:r>
        <w:rPr>
          <w:rFonts w:hAnsi="Times New Roman" w:cs="Times New Roman"/>
        </w:rPr>
        <w:t xml:space="preserve">•	Europskog poljoprivrednog fonda za ruralni razvoj (EPFRR), 
</w:t>
      </w:r>
    </w:p>
    <w:p>
      <w:pPr>
        <w:jc w:val="both"/>
        <w:pStyle w:val="Normal"/>
      </w:pPr>
      <w:r>
        <w:rPr>
          <w:rFonts w:hAnsi="Times New Roman" w:cs="Times New Roman"/>
        </w:rPr>
        <w:t xml:space="preserve">•	Europskog fonda za pomorstvo i ribarstvo (EFPR), 
</w:t>
      </w:r>
    </w:p>
    <w:p>
      <w:pPr>
        <w:jc w:val="both"/>
        <w:pStyle w:val="Normal"/>
      </w:pPr>
      <w:r>
        <w:rPr>
          <w:rFonts w:hAnsi="Times New Roman" w:cs="Times New Roman"/>
        </w:rPr>
        <w:t xml:space="preserve">•	Europskog fonda za pomorstvo, ribarstvo i akvakulturu (EFPRA) i  
</w:t>
      </w:r>
    </w:p>
    <w:p>
      <w:pPr>
        <w:jc w:val="both"/>
        <w:pStyle w:val="Normal"/>
      </w:pPr>
      <w:r>
        <w:rPr>
          <w:rFonts w:hAnsi="Times New Roman" w:cs="Times New Roman"/>
        </w:rPr>
        <w:t xml:space="preserve">•	Instrumenta Europske unije za oporavak i otpornost (EURI). 
</w:t>
      </w:r>
    </w:p>
    <w:p>
      <w:pPr>
        <w:jc w:val="both"/>
        <w:pStyle w:val="Normal"/>
      </w:pPr>
      <w:r>
        <w:rPr>
          <w:rFonts w:hAnsi="Times New Roman" w:cs="Times New Roman"/>
        </w:rPr>
        <w:t xml:space="preserve"> 
</w:t>
      </w:r>
    </w:p>
    <w:p>
      <w:pPr>
        <w:jc w:val="both"/>
        <w:pStyle w:val="Normal"/>
      </w:pPr>
      <w:r>
        <w:rPr>
          <w:rFonts w:hAnsi="Times New Roman" w:cs="Times New Roman"/>
        </w:rPr>
        <w:t xml:space="preserve">Iz Europskog fonda za jamstva u poljoprivredi financiraju se izdaci za izravne potpore i mjere na poljoprivrednim tržištima. 
</w:t>
      </w:r>
    </w:p>
    <w:p>
      <w:pPr>
        <w:jc w:val="both"/>
        <w:pStyle w:val="Normal"/>
      </w:pPr>
      <w:r>
        <w:rPr>
          <w:rFonts w:hAnsi="Times New Roman" w:cs="Times New Roman"/>
        </w:rPr>
        <w:t xml:space="preserve">APPRRR svoj rad temelji na akreditiranim procesima i procedurama u skladu s uredbama Europske unije i unaprijed određenim kriterijima primjenjivim za provedbu Zajedničke poljoprivredne politike i Zajedničke ribarstvene politike te sukladno nacionalnom zakonodavstvu. 
</w:t>
      </w:r>
    </w:p>
    <w:p>
      <w:pPr>
        <w:jc w:val="both"/>
        <w:pStyle w:val="Normal"/>
      </w:pPr>
      <w:r>
        <w:rPr>
          <w:rFonts w:hAnsi="Times New Roman" w:cs="Times New Roman"/>
        </w:rPr>
        <w:t xml:space="preserve">Agencija za plaćanja u poljoprivredi, ribarstvu i ruralnom razvoja je u 2024. godini nastavila s provedbom programskog razdoblja Zajedničke poljoprivredne politike utemeljenog na Strateškom planu Zajedničke poljoprivredne politike Republike Hrvatske 2023.-2027. godine, a koji predstavlja nacionalni dokument i osigurava potporu iz europskih poljoprivrednih fondova. Provedbom Strateškog plana Zajedničke poljoprivredne politike Republike Hrvatske 2023.-2027. godine nastoji se osigurati doprinos ciljevima Europskog zelenog plana uključujući Strategiju za bioraznolikost te strategiju Od polja do stola. Paraleleno s provedbom novog programskog razdoblja nastavilo se i s provedbom mjera iz prethodnog razdoblja za sve vrste potpora za koje je to primjenjivo. 
</w:t>
      </w:r>
    </w:p>
    <w:p>
      <w:pPr>
        <w:jc w:val="both"/>
        <w:pStyle w:val="Normal"/>
      </w:pPr>
      <w:r>
        <w:rPr>
          <w:rFonts w:hAnsi="Times New Roman" w:cs="Times New Roman"/>
        </w:rPr>
        <w:t xml:space="preserve"> 
</w:t>
      </w:r>
    </w:p>
    <w:p>
      <w:pPr>
        <w:jc w:val="both"/>
        <w:pStyle w:val="Normal"/>
      </w:pPr>
      <w:r>
        <w:rPr>
          <w:rFonts w:hAnsi="Times New Roman" w:cs="Times New Roman"/>
        </w:rPr>
        <w:t xml:space="preserve">U tom procesu osnovne funkcije APPRRR-a su odobravanje zahtjeva, uključujući administrativnu kontrolu i kontrolu na terenu, izvršenje plaćanja te računovodstveno evidentiranje plaćanja. U sklopu operativne provedbe intervencija izravne potpore, mjera i intervencija ruralnog razvoja, sektorskih intervencija, nacionalnih programa potpore i ostalih tržišnih potpora te mjera pomoći sektoru vinarstva korisnici su podnosili zahtjeve za potporu APPRRR-u, nakon čega se utvrđivalo jesu li zadovoljeni svi uvjeti propisani EU i nacionalnim pravilima. Cilj APPRRR-a je bio kvalitetno i u zadanim rokovima obaviti sve provjere prihvatljivosti zahtjeva korisnika kako bi se ispravno odobrili svi zahtjevi korisnika te izvršila plaćanja.</w:t>
      </w:r>
    </w:p>
    <w:p>
      <w:pPr>
        <w:jc w:val="left"/>
        <w:pStyle w:val="Heading8"/>
      </w:pPr>
      <w:r>
        <w:rPr>
          <w:rFonts w:hAnsi="Times New Roman" w:cs="Times New Roman"/>
        </w:rPr>
        <w:t xml:space="preserve">Cilj 1. Unapređenje kvalitete života u ruralnim područjima</w:t>
      </w:r>
    </w:p>
    <w:p>
      <w:pPr>
        <w:jc w:val="left"/>
        <w:pStyle w:val="Heading8"/>
      </w:pPr>
      <w:r>
        <w:rPr>
          <w:rFonts w:hAnsi="Times New Roman" w:cs="Times New Roman"/>
        </w:rPr>
        <w:t xml:space="preserve">Opis provedbe cilja programa</w:t>
      </w:r>
    </w:p>
    <w:p>
      <w:pPr>
        <w:jc w:val="both"/>
        <w:pStyle w:val="Normal"/>
      </w:pPr>
      <w:r>
        <w:rPr>
          <w:rFonts w:hAnsi="Times New Roman" w:cs="Times New Roman"/>
        </w:rPr>
        <w:t xml:space="preserve">Strateškim planom nastoji se poboljšati održivi razvoj poljoprivrede, hrane i ruralnih područja potporama održivom dohotku poljoprivrednih gospodarstava i otpornosti poljoprivrednog sektora u cijeloj Uniji kako bi se poboljšala dugoročna sigurnost opskrbe hranom i poljoprivredna raznolikost te osigurala gospodarska održivost poljoprivredne proizvodnje u Uniji. Poboljšanjem položaja poljoprivrednika u vrijednosnom lancu, privlačenjem i podupiranjem mladih poljoprivrednika i novih poljoprivrednika te olakšavanje održivog poslovnog razvoja u ruralnim područjima</w:t>
      </w:r>
    </w:p>
    <w:p>
      <w:pPr>
        <w:jc w:val="left"/>
        <w:pStyle w:val="Heading8"/>
      </w:pPr>
      <w:r>
        <w:rPr>
          <w:rFonts w:hAnsi="Times New Roman" w:cs="Times New Roman"/>
        </w:rPr>
        <w:t xml:space="preserve">Pokazatelji učinka</w:t>
      </w:r>
    </w:p>
    <w:tbl>
      <w:tblPr w:type="dxa">
        <w:tblStyle w:val="StilTablice"/>
        <w:tblW w:w="10206"/>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3096</w:gridCol>
        <w:gridCol>3096</w:gridCol>
        <w:gridCol>3096</w:gridCol>
        <w:gridCol>3096</w:gridCol>
        <w:gridCol>3096</w:gridCol>
        <w:gridCol>3096</w:gridCol>
        <w:gridCol>3096</w:gridCol>
      </w:tblGrid>
      <w:tr>
        <w:trPr>
          <w:cantSplit/>
        </w:trPr>
        <w:tc>
          <w:tcPr>
            <w:tcW w:w="2551.5" w:type="dxa"/>
            <w:vAlign w:val="center"/>
            <w:shd w:val="clear" w:color="auto" w:fill="b5c0d8"/>
          </w:tcPr>
          <w:p>
            <w:pPr>
              <w:jc w:val="center"/>
            </w:pPr>
            <w:r>
              <w:rPr>
                <w:rFonts w:hAnsi="Times New Roman" w:cs="Times New Roman"/>
              </w:rPr>
              <w:t xml:space="preserve">Pokazatelj učinka</w:t>
            </w:r>
          </w:p>
        </w:tc>
        <w:tc>
          <w:tcPr>
            <w:tcW w:w="2551.5" w:type="dxa"/>
            <w:vAlign w:val="center"/>
            <w:shd w:val="clear" w:color="auto" w:fill="b5c0d8"/>
          </w:tcPr>
          <w:p>
            <w:pPr>
              <w:jc w:val="center"/>
              <w:pStyle w:val="CellHeader"/>
            </w:pPr>
            <w:r>
              <w:rPr>
                <w:rFonts w:hAnsi="Times New Roman" w:cs="Times New Roman"/>
              </w:rPr>
              <w:t xml:space="preserve">Definicija</w:t>
            </w:r>
          </w:p>
        </w:tc>
        <w:tc>
          <w:tcPr>
            <w:tcW w:w="1020.6" w:type="dxa"/>
            <w:vAlign w:val="center"/>
            <w:shd w:val="clear" w:color="auto" w:fill="b5c0d8"/>
          </w:tcPr>
          <w:p>
            <w:pPr>
              <w:jc w:val="center"/>
              <w:pStyle w:val="CellHeader"/>
            </w:pPr>
            <w:r>
              <w:rPr>
                <w:rFonts w:hAnsi="Times New Roman" w:cs="Times New Roman"/>
              </w:rPr>
              <w:t xml:space="preserve">Jedinica</w:t>
            </w:r>
          </w:p>
        </w:tc>
        <w:tc>
          <w:tcPr>
            <w:tcW w:w="1020.6" w:type="dxa"/>
            <w:vAlign w:val="center"/>
            <w:shd w:val="clear" w:color="auto" w:fill="b5c0d8"/>
          </w:tcPr>
          <w:p>
            <w:pPr>
              <w:jc w:val="center"/>
              <w:pStyle w:val="CellHeader"/>
            </w:pPr>
            <w:r>
              <w:rPr>
                <w:rFonts w:hAnsi="Times New Roman" w:cs="Times New Roman"/>
              </w:rPr>
              <w:t xml:space="preserve">Polazna vrijednost</w:t>
            </w:r>
          </w:p>
        </w:tc>
        <w:tc>
          <w:tcPr>
            <w:tcW w:w="918.54" w:type="dxa"/>
            <w:vAlign w:val="center"/>
            <w:shd w:val="clear" w:color="auto" w:fill="b5c0d8"/>
          </w:tcPr>
          <w:p>
            <w:pPr>
              <w:jc w:val="center"/>
              <w:pStyle w:val="CellHeader"/>
            </w:pPr>
            <w:r>
              <w:rPr>
                <w:rFonts w:hAnsi="Times New Roman" w:cs="Times New Roman"/>
              </w:rPr>
              <w:t xml:space="preserve">Izvor podataka</w:t>
            </w:r>
          </w:p>
        </w:tc>
        <w:tc>
          <w:tcPr>
            <w:tcW w:w="1020.6" w:type="dxa"/>
            <w:vAlign w:val="center"/>
            <w:shd w:val="clear" w:color="auto" w:fill="b5c0d8"/>
          </w:tcPr>
          <w:p>
            <w:pPr>
              <w:jc w:val="center"/>
              <w:pStyle w:val="CellHeader"/>
            </w:pPr>
            <w:r>
              <w:rPr>
                <w:rFonts w:hAnsi="Times New Roman" w:cs="Times New Roman"/>
              </w:rPr>
              <w:t xml:space="preserve">Ciljana vrijednost (2025.)</w:t>
            </w:r>
          </w:p>
        </w:tc>
        <w:tc>
          <w:tcPr>
            <w:tcW w:w="1020.6" w:type="dxa"/>
            <w:vAlign w:val="center"/>
            <w:shd w:val="clear" w:color="auto" w:fill="b5c0d8"/>
          </w:tcPr>
          <w:p>
            <w:pPr>
              <w:jc w:val="center"/>
              <w:pStyle w:val="CellHeader"/>
            </w:pPr>
            <w:r>
              <w:rPr>
                <w:rFonts w:hAnsi="Times New Roman" w:cs="Times New Roman"/>
              </w:rPr>
              <w:t xml:space="preserve">Ostvarena vrijednost (2025.)</w:t>
            </w:r>
          </w:p>
        </w:tc>
      </w:tr>
      <w:tr>
        <w:trPr>
          <w:cantSplit/>
        </w:trPr>
        <w:tc>
          <w:tcPr>
            <w:tcW w:w="2551.5" w:type="dxa"/>
            <w:vAlign w:val="center"/>
          </w:tcPr>
          <w:p>
            <w:pPr>
              <w:jc w:val="left"/>
              <w:pStyle w:val="CellColumn"/>
            </w:pPr>
            <w:r>
              <w:rPr>
                <w:rFonts w:hAnsi="Times New Roman" w:cs="Times New Roman"/>
              </w:rPr>
              <w:t xml:space="preserve">Iskorištenost vrijednosti isplaćenih sredstava iz EAGF</w:t>
            </w:r>
          </w:p>
        </w:tc>
        <w:tc>
          <w:tcPr>
            <w:tcW w:w="2551.5" w:type="dxa"/>
            <w:vAlign w:val="center"/>
          </w:tcPr>
          <w:p>
            <w:pPr>
              <w:jc w:val="left"/>
              <w:pStyle w:val="CellColumn"/>
            </w:pPr>
            <w:r>
              <w:rPr>
                <w:rFonts w:hAnsi="Times New Roman" w:cs="Times New Roman"/>
              </w:rPr>
              <w:t xml:space="preserve">Vrijednost isplaćenih sredstava u odnosu na alokaciju  iz  EAGF (Europski fond za jamstva u poljoprivredi)</w:t>
            </w:r>
          </w:p>
        </w:tc>
        <w:tc>
          <w:tcPr>
            <w:tcW w:w="1020.6" w:type="dxa"/>
            <w:vAlign w:val="center"/>
          </w:tcPr>
          <w:p>
            <w:pPr>
              <w:jc w:val="right"/>
              <w:pStyle w:val="CellColumn"/>
            </w:pPr>
            <w:r>
              <w:rPr>
                <w:rFonts w:hAnsi="Times New Roman" w:cs="Times New Roman"/>
              </w:rPr>
              <w:t xml:space="preserve">%</w:t>
            </w:r>
          </w:p>
        </w:tc>
        <w:tc>
          <w:tcPr>
            <w:tcW w:w="1020.6" w:type="dxa"/>
            <w:vAlign w:val="center"/>
          </w:tcPr>
          <w:p>
            <w:pPr>
              <w:jc w:val="right"/>
              <w:pStyle w:val="CellColumn"/>
            </w:pPr>
            <w:r>
              <w:rPr>
                <w:rFonts w:hAnsi="Times New Roman" w:cs="Times New Roman"/>
              </w:rPr>
              <w:t xml:space="preserve">25</w:t>
            </w:r>
          </w:p>
        </w:tc>
        <w:tc>
          <w:tcPr>
            <w:tcW w:w="1020.6" w:type="dxa"/>
            <w:vAlign w:val="center"/>
          </w:tcPr>
          <w:p>
            <w:pPr>
              <w:jc w:val="right"/>
              <w:pStyle w:val="CellColumn"/>
            </w:pPr>
            <w:r>
              <w:rPr>
                <w:rFonts w:hAnsi="Times New Roman" w:cs="Times New Roman"/>
              </w:rPr>
              <w:t xml:space="preserve">APPRRR</w:t>
            </w:r>
          </w:p>
        </w:tc>
        <w:tc>
          <w:tcPr>
            <w:tcW w:w="1020.6" w:type="dxa"/>
            <w:vAlign w:val="center"/>
          </w:tcPr>
          <w:p>
            <w:pPr>
              <w:jc w:val="right"/>
              <w:pStyle w:val="CellColumn"/>
            </w:pPr>
            <w:r>
              <w:rPr>
                <w:rFonts w:hAnsi="Times New Roman" w:cs="Times New Roman"/>
              </w:rPr>
              <w:t xml:space="preserve">30</w:t>
            </w:r>
          </w:p>
        </w:tc>
        <w:tc>
          <w:tcPr>
            <w:tcW w:w="1020.6" w:type="dxa"/>
            <w:vAlign w:val="center"/>
          </w:tcPr>
          <w:p>
            <w:pPr>
              <w:jc w:val="right"/>
              <w:pStyle w:val="CellColumn"/>
            </w:pPr>
            <w:r>
              <w:rPr>
                <w:rFonts w:hAnsi="Times New Roman" w:cs="Times New Roman"/>
              </w:rPr>
              <w:t xml:space="preserve">30</w:t>
            </w:r>
          </w:p>
        </w:tc>
      </w:tr>
    </w:tbl>
    <w:p>
      <w:pPr>
        <w:jc w:val="left"/>
      </w:pPr>
      <w:r>
        <w:rPr>
          <w:rFonts w:hAnsi="Times New Roman" w:cs="Times New Roman"/>
        </w:rPr>
        <w:t xml:space="preserve"/>
      </w:r>
    </w:p>
    <w:p>
      <w:pPr>
        <w:jc w:val="left"/>
        <w:pStyle w:val="Heading4"/>
      </w:pPr>
      <w:r>
        <w:rPr>
          <w:rFonts w:hAnsi="Times New Roman" w:cs="Times New Roman"/>
        </w:rPr>
        <w:t xml:space="preserve">A841001 ADMINISTRACIJA I UPRAVLJANJE AGENCIJE ZA PLAĆANJA U POLJOPRIVREDI, RIBARSTVU I RURALNOM RAZVOJU</w:t>
      </w:r>
    </w:p>
    <w:tbl>
      <w:tblPr w:type="dxa">
        <w:tblStyle w:val="StilTablice"/>
        <w:tblW w:w="10206"/>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3096</w:gridCol>
        <w:gridCol>3096</w:gridCol>
        <w:gridCol>3096</w:gridCol>
        <w:gridCol>3096</w:gridCol>
        <w:gridCol>3096</w:gridCol>
        <w:gridCol>3096</w:gridCol>
      </w:tblGrid>
      <w:tr>
        <w:trPr>
          <w:cantSplit/>
        </w:trPr>
        <w:tc>
          <w:tcPr>
            <w:tcW w:w="1632.96" w:type="dxa"/>
            <w:vAlign w:val="center"/>
            <w:shd w:val="clear" w:color="auto" w:fill="b5c0d8"/>
          </w:tcPr>
          <w:p>
            <w:pPr>
              <w:jc w:val="center"/>
              <w:pStyle w:val="CellHeader"/>
            </w:pPr>
            <w:r>
              <w:rPr>
                <w:rFonts w:hAnsi="Times New Roman" w:cs="Times New Roman"/>
              </w:rPr>
              <w:t xml:space="preserve">Naziv aktivnosti</w:t>
            </w:r>
          </w:p>
        </w:tc>
        <w:tc>
          <w:tcPr>
            <w:tcW w:w="2041.2" w:type="dxa"/>
            <w:vAlign w:val="center"/>
            <w:shd w:val="clear" w:color="auto" w:fill="b5c0d8"/>
          </w:tcPr>
          <w:p>
            <w:pPr>
              <w:jc w:val="center"/>
              <w:pStyle w:val="CellHeader"/>
            </w:pPr>
            <w:r>
              <w:rPr>
                <w:rFonts w:hAnsi="Times New Roman" w:cs="Times New Roman"/>
              </w:rPr>
              <w:t xml:space="preserve">Izvršenje 2024. (eur)</w:t>
            </w:r>
          </w:p>
        </w:tc>
        <w:tc>
          <w:tcPr>
            <w:tcW w:w="2041.2" w:type="dxa"/>
            <w:vAlign w:val="center"/>
            <w:shd w:val="clear" w:color="auto" w:fill="b5c0d8"/>
          </w:tcPr>
          <w:p>
            <w:pPr>
              <w:jc w:val="center"/>
              <w:pStyle w:val="CellHeader"/>
            </w:pPr>
            <w:r>
              <w:rPr>
                <w:rFonts w:hAnsi="Times New Roman" w:cs="Times New Roman"/>
              </w:rPr>
              <w:t xml:space="preserve">Plan 2025. (eur)</w:t>
            </w:r>
          </w:p>
        </w:tc>
        <w:tc>
          <w:tcPr>
            <w:tcW w:w="2041.2" w:type="dxa"/>
            <w:vAlign w:val="center"/>
            <w:shd w:val="clear" w:color="auto" w:fill="b5c0d8"/>
          </w:tcPr>
          <w:p>
            <w:pPr>
              <w:jc w:val="center"/>
              <w:pStyle w:val="CellHeader"/>
            </w:pPr>
            <w:r>
              <w:rPr>
                <w:rFonts w:hAnsi="Times New Roman" w:cs="Times New Roman"/>
              </w:rPr>
              <w:t xml:space="preserve">Izvršenje 2025. (eur)</w:t>
            </w:r>
          </w:p>
        </w:tc>
        <w:tc>
          <w:tcPr>
            <w:tcW w:w="1224.72" w:type="dxa"/>
            <w:vAlign w:val="center"/>
            <w:shd w:val="clear" w:color="auto" w:fill="b5c0d8"/>
          </w:tcPr>
          <w:p>
            <w:pPr>
              <w:jc w:val="center"/>
              <w:pStyle w:val="CellHeader"/>
            </w:pPr>
            <w:r>
              <w:rPr>
                <w:rFonts w:hAnsi="Times New Roman" w:cs="Times New Roman"/>
              </w:rPr>
              <w:t xml:space="preserve">Indeks izvršenje 2025./plan 2025.</w:t>
            </w:r>
          </w:p>
        </w:tc>
        <w:tc>
          <w:tcPr>
            <w:tcW w:w="1224.72" w:type="dxa"/>
            <w:vAlign w:val="center"/>
            <w:shd w:val="clear" w:color="auto" w:fill="b5c0d8"/>
          </w:tcPr>
          <w:p>
            <w:pPr>
              <w:jc w:val="center"/>
              <w:pStyle w:val="CellHeader"/>
            </w:pPr>
            <w:r>
              <w:rPr>
                <w:rFonts w:hAnsi="Times New Roman" w:cs="Times New Roman"/>
              </w:rPr>
              <w:t xml:space="preserve">Indeks izvršenje 2025./2024.</w:t>
            </w:r>
          </w:p>
        </w:tc>
      </w:tr>
      <w:tr>
        <w:trPr>
          <w:cantSplit/>
        </w:trPr>
        <w:tc>
          <w:tcPr>
            <w:tcW w:w="1632.96" w:type="dxa"/>
            <w:vAlign w:val="center"/>
          </w:tcPr>
          <w:p>
            <w:pPr>
              <w:jc w:val="left"/>
              <w:pStyle w:val="CellColumn"/>
            </w:pPr>
            <w:r>
              <w:rPr>
                <w:rFonts w:hAnsi="Times New Roman" w:cs="Times New Roman"/>
              </w:rPr>
              <w:t xml:space="preserve">A841001-ADMINISTRACIJA I UPRAVLJANJE AGENCIJE ZA PLAĆANJA U POLJOPRIVREDI, RIBARSTVU I RURALNOM RAZVOJU</w:t>
            </w:r>
          </w:p>
        </w:tc>
        <w:tc>
          <w:tcPr>
            <w:tcW w:w="2041.2" w:type="dxa"/>
            <w:vAlign w:val="center"/>
          </w:tcPr>
          <w:p>
            <w:pPr>
              <w:jc w:val="right"/>
              <w:pStyle w:val="CellColumn"/>
            </w:pPr>
            <w:r>
              <w:rPr>
                <w:rFonts w:hAnsi="Times New Roman" w:cs="Times New Roman"/>
              </w:rPr>
              <w:t xml:space="preserve">21.234.642</w:t>
            </w:r>
          </w:p>
        </w:tc>
        <w:tc>
          <w:tcPr>
            <w:tcW w:w="2041.2" w:type="dxa"/>
            <w:vAlign w:val="center"/>
          </w:tcPr>
          <w:p>
            <w:pPr>
              <w:jc w:val="right"/>
              <w:pStyle w:val="CellColumn"/>
            </w:pPr>
            <w:r>
              <w:rPr>
                <w:rFonts w:hAnsi="Times New Roman" w:cs="Times New Roman"/>
              </w:rPr>
              <w:t xml:space="preserve">25.210.138</w:t>
            </w:r>
          </w:p>
        </w:tc>
        <w:tc>
          <w:tcPr>
            <w:tcW w:w="2041.2" w:type="dxa"/>
            <w:vAlign w:val="center"/>
          </w:tcPr>
          <w:p>
            <w:pPr>
              <w:jc w:val="right"/>
              <w:pStyle w:val="CellColumn"/>
            </w:pPr>
            <w:r>
              <w:rPr>
                <w:rFonts w:hAnsi="Times New Roman" w:cs="Times New Roman"/>
              </w:rPr>
              <w:t xml:space="preserve">25.032.836</w:t>
            </w:r>
          </w:p>
        </w:tc>
        <w:tc>
          <w:tcPr>
            <w:tcW w:w="1224.72" w:type="dxa"/>
            <w:vAlign w:val="center"/>
          </w:tcPr>
          <w:p>
            <w:pPr>
              <w:jc w:val="right"/>
              <w:pStyle w:val="CellColumn"/>
            </w:pPr>
            <w:r>
              <w:rPr>
                <w:rFonts w:hAnsi="Times New Roman" w:cs="Times New Roman"/>
              </w:rPr>
              <w:t xml:space="preserve">99,3</w:t>
            </w:r>
          </w:p>
        </w:tc>
        <w:tc>
          <w:tcPr>
            <w:tcW w:w="1224.72" w:type="dxa"/>
            <w:vAlign w:val="center"/>
          </w:tcPr>
          <w:p>
            <w:pPr>
              <w:jc w:val="right"/>
              <w:pStyle w:val="CellColumn"/>
            </w:pPr>
            <w:r>
              <w:rPr>
                <w:rFonts w:hAnsi="Times New Roman" w:cs="Times New Roman"/>
              </w:rPr>
              <w:t xml:space="preserve">117,9</w:t>
            </w:r>
          </w:p>
        </w:tc>
      </w:tr>
    </w:tbl>
    <w:p>
      <w:pPr>
        <w:jc w:val="left"/>
      </w:pPr>
      <w:r>
        <w:rPr>
          <w:rFonts w:hAnsi="Times New Roman" w:cs="Times New Roman"/>
        </w:rPr>
        <w:t xml:space="preserve"/>
      </w:r>
    </w:p>
    <w:p>
      <w:pPr>
        <w:jc w:val="left"/>
        <w:pStyle w:val="Heading8"/>
      </w:pPr>
      <w:r>
        <w:rPr>
          <w:rFonts w:hAnsi="Times New Roman" w:cs="Times New Roman"/>
        </w:rPr>
        <w:t xml:space="preserve">Zakonske i druge pravne osnove</w:t>
      </w:r>
    </w:p>
    <w:p>
      <w:pPr>
        <w:jc w:val="both"/>
        <w:pStyle w:val="Normal"/>
      </w:pPr>
      <w:r>
        <w:rPr>
          <w:rFonts w:hAnsi="Times New Roman" w:cs="Times New Roman"/>
        </w:rPr>
        <w:t xml:space="preserve">- Zakon o osnivanju Agencije za plaćanja u poljoprivredi, ribarstvu i ruralnom razvoju
</w:t>
      </w:r>
    </w:p>
    <w:p>
      <w:pPr>
        <w:jc w:val="both"/>
        <w:pStyle w:val="Normal"/>
      </w:pPr>
      <w:r>
        <w:rPr>
          <w:rFonts w:hAnsi="Times New Roman" w:cs="Times New Roman"/>
        </w:rPr>
        <w:t xml:space="preserve">- Statut Agencije za plaćanja u poljoprivredi, ribarstvu i ruralnom razvoju
</w:t>
      </w:r>
    </w:p>
    <w:p>
      <w:pPr>
        <w:jc w:val="both"/>
        <w:pStyle w:val="Normal"/>
      </w:pPr>
      <w:r>
        <w:rPr>
          <w:rFonts w:hAnsi="Times New Roman" w:cs="Times New Roman"/>
        </w:rPr>
        <w:t xml:space="preserve">- Pravilnik o korištenju službenih automobila Agencije za plaćanja u poljoprivredi, ribarstvu i ruralnom
</w:t>
      </w:r>
    </w:p>
    <w:p>
      <w:pPr>
        <w:jc w:val="both"/>
        <w:pStyle w:val="Normal"/>
      </w:pPr>
      <w:r>
        <w:rPr>
          <w:rFonts w:hAnsi="Times New Roman" w:cs="Times New Roman"/>
        </w:rPr>
        <w:t xml:space="preserve">razvoju
</w:t>
      </w:r>
    </w:p>
    <w:p>
      <w:pPr>
        <w:jc w:val="both"/>
        <w:pStyle w:val="Normal"/>
      </w:pPr>
      <w:r>
        <w:rPr>
          <w:rFonts w:hAnsi="Times New Roman" w:cs="Times New Roman"/>
        </w:rPr>
        <w:t xml:space="preserve">- Pravilnik o popisu imovine i obveza, rashodovanju i postupanju s kratkotrajnom i dugotrajnom imovinom
</w:t>
      </w:r>
    </w:p>
    <w:p>
      <w:pPr>
        <w:jc w:val="both"/>
        <w:pStyle w:val="Normal"/>
      </w:pPr>
      <w:r>
        <w:rPr>
          <w:rFonts w:hAnsi="Times New Roman" w:cs="Times New Roman"/>
        </w:rPr>
        <w:t xml:space="preserve">- Pravilnik o upravljanju informacijskom sigurnošću
</w:t>
      </w:r>
    </w:p>
    <w:p>
      <w:pPr>
        <w:jc w:val="both"/>
        <w:pStyle w:val="Normal"/>
      </w:pPr>
      <w:r>
        <w:rPr>
          <w:rFonts w:hAnsi="Times New Roman" w:cs="Times New Roman"/>
        </w:rPr>
        <w:t xml:space="preserve">- Pravilnik o unutarnjem ustrojstvu i sistematizaciji radnih mjesta
</w:t>
      </w:r>
    </w:p>
    <w:p>
      <w:pPr>
        <w:jc w:val="both"/>
        <w:pStyle w:val="Normal"/>
      </w:pPr>
      <w:r>
        <w:rPr>
          <w:rFonts w:hAnsi="Times New Roman" w:cs="Times New Roman"/>
        </w:rPr>
        <w:t xml:space="preserve">- Zakon o plaćama u državnoj službi i javnim službama
</w:t>
      </w:r>
    </w:p>
    <w:p>
      <w:pPr>
        <w:jc w:val="both"/>
        <w:pStyle w:val="Normal"/>
      </w:pPr>
      <w:r>
        <w:rPr>
          <w:rFonts w:hAnsi="Times New Roman" w:cs="Times New Roman"/>
        </w:rPr>
        <w:t xml:space="preserve">- Zakon o Registru zaposlenih i centraliziranom obračunu plaća u državnoj službi i javnim službama
</w:t>
      </w:r>
    </w:p>
    <w:p>
      <w:pPr>
        <w:jc w:val="both"/>
        <w:pStyle w:val="Normal"/>
      </w:pPr>
      <w:r>
        <w:rPr>
          <w:rFonts w:hAnsi="Times New Roman" w:cs="Times New Roman"/>
        </w:rPr>
        <w:t xml:space="preserve">- Uredba o nazivima radnih mjesta, uvjetima za raspored i koeficjentima za obračun plaće u javnim službama</w:t>
      </w:r>
    </w:p>
    <w:p>
      <w:pPr>
        <w:jc w:val="left"/>
        <w:pStyle w:val="Heading8"/>
      </w:pPr>
      <w:r>
        <w:rPr>
          <w:rFonts w:hAnsi="Times New Roman" w:cs="Times New Roman"/>
        </w:rPr>
        <w:t xml:space="preserve">Opis aktivnosti</w:t>
      </w:r>
    </w:p>
    <w:p>
      <w:pPr>
        <w:jc w:val="both"/>
        <w:pStyle w:val="Normal"/>
      </w:pPr>
      <w:r>
        <w:rPr>
          <w:rFonts w:hAnsi="Times New Roman" w:cs="Times New Roman"/>
        </w:rPr>
        <w:t xml:space="preserve">Ovom aktivnosti obuhvaćene su aktivnosti koje osiguravaju redovito poslovanje i obavljanje svih djelatnosti
</w:t>
      </w:r>
    </w:p>
    <w:p>
      <w:pPr>
        <w:jc w:val="both"/>
        <w:pStyle w:val="Normal"/>
      </w:pPr>
      <w:r>
        <w:rPr>
          <w:rFonts w:hAnsi="Times New Roman" w:cs="Times New Roman"/>
        </w:rPr>
        <w:t xml:space="preserve">Agencije za plaćanja u poljoprivredi, ribarstvu i ruralnom razvoju. Iz tih aktivnosti financiraju se rashodi za
</w:t>
      </w:r>
    </w:p>
    <w:p>
      <w:pPr>
        <w:jc w:val="both"/>
        <w:pStyle w:val="Normal"/>
      </w:pPr>
      <w:r>
        <w:rPr>
          <w:rFonts w:hAnsi="Times New Roman" w:cs="Times New Roman"/>
        </w:rPr>
        <w:t xml:space="preserve">zaposlene, korištenja usluga i dobara, opremanje ureda. 
</w:t>
      </w:r>
    </w:p>
    <w:p>
      <w:pPr>
        <w:jc w:val="both"/>
        <w:pStyle w:val="Normal"/>
      </w:pPr>
      <w:r>
        <w:rPr>
          <w:rFonts w:hAnsi="Times New Roman" w:cs="Times New Roman"/>
        </w:rPr>
        <w:t xml:space="preserve">Analizom obima posla (radnog opterećenja) utvrđeno je da u Agenciji za plaćanja nema dovoljnog broja radnika i da bi trebalo promijeniti sistematizaciju rada. Naime novi ZPP postavlja nove ciljeve, mjere i procese. Kako bi se realizirali postavljeni ciljevi, nužno je mijenjati sistematizaciju rada i uskladiti je s novim potrebama.  Novi Pravilnik o unutarnjem ustroju i sitematizaciji radnih mjesta stupio je na snagu 01.10.2024.g. Njime je sistematizirano ukupno 993 radna mjesta.  U 2025.g. Agencija je zaposlila 83 nova radnika. Od 01.09.2025.g. na snazi je nova osnovica plaće koja se povećala za 3%.
</w:t>
      </w:r>
    </w:p>
    <w:p>
      <w:pPr>
        <w:jc w:val="both"/>
        <w:pStyle w:val="Normal"/>
      </w:pPr>
      <w:r>
        <w:rPr>
          <w:rFonts w:hAnsi="Times New Roman" w:cs="Times New Roman"/>
        </w:rPr>
        <w:t xml:space="preserve">APPRRR kontinuirano potiče i organizira usavršavanje svojih zaposlenika uzimajući u obzir individualne interese i potrebe posla, čime se kod zaposlenika potiče osjećaj vrijednosti i samopoštovanja, a ujedno se doprinosi cjelokupnom poslovanju. 
</w:t>
      </w:r>
    </w:p>
    <w:p>
      <w:pPr>
        <w:jc w:val="both"/>
        <w:pStyle w:val="Normal"/>
      </w:pPr>
      <w:r>
        <w:rPr>
          <w:rFonts w:hAnsi="Times New Roman" w:cs="Times New Roman"/>
        </w:rPr>
        <w:t xml:space="preserve">Uslijed povećanja broja radnika tijekom 2025.g. i utjecaja inflacije te povećanja cijena zakupa poslovnog prostora, režijskih trošlkova i sl. povećani su i materijalni rashodi za 18% u odnosu na 2024.g. Vremenski okvir za završetak korištenja TP PRR  bio je kraj lipnja 2025. godine, odnosno korištenje TP SPP počelo je od početka srpnja 2025. godine. Kroz korištenje TP PRR, APPRRR je imala mogućnost dio neizravnih troškova (15% od iznosa rashoda za zaposlene) financirati iz TP PRR. Od početka srpnja 2025. troškovi TP financiraju se iz SP ZPP u kojemu imamo vrlo ograničeni proračun za TP, stoga je navedeni dio neizravnih troškova (režije, kancelarijski materijal i sl) dodatno teretio Opće prihode i primitke (izvor 11).  
</w:t>
      </w:r>
    </w:p>
    <w:p>
      <w:pPr>
        <w:jc w:val="both"/>
        <w:pStyle w:val="Normal"/>
      </w:pPr>
      <w:r>
        <w:rPr>
          <w:rFonts w:hAnsi="Times New Roman" w:cs="Times New Roman"/>
        </w:rPr>
        <w:t xml:space="preserve">Znatno su povećani troškovi održavanja službenih automobila Agencije za plaćanja u poljoprivredi, ribarstvu i ruralnom razvoju. APPRRR trenutno raspolaže sa 55 službenih vozila koji su po svim predviđenim kriterijama Smjernica za upravljanje voznim parkom, prešli granicu učinkovisti i ekonomičnosti. Zbog povećanih potreba za vozilima i starog voznog parka, Agencija je u 2025.g. koristila usluge renta - car.
</w:t>
      </w:r>
    </w:p>
    <w:p>
      <w:pPr>
        <w:jc w:val="both"/>
        <w:pStyle w:val="Normal"/>
      </w:pPr>
      <w:r>
        <w:rPr>
          <w:rFonts w:hAnsi="Times New Roman" w:cs="Times New Roman"/>
        </w:rPr>
        <w:t xml:space="preserve">Osim navedenog  APPRRR-a obavlja horizontalne poslove koji se odnose i na izradu, prilagodbu i ažuriranje procedura za rad, provedbu preporuka unutarnje i vanjskih revizija, upravljanje nepravilnostima, prevenciju sukoba interesa, upravljanje rizicima, pripremu i provedbu tehničke pomoći, komunikaciju s korisnicima i informiranje šire javnosti, provedbu međunarodnih aktivnosti, upravljanje ljudskim potencijalima, osiguranje sredstava za rad djelatnika APPRRR-a, provedbu financijskih, računovodstvenih i knjigovodstvenih poslova, sustava javne nabave i pravnih poslova, izvještavanje o radu APPRRR-a, organizaciji zaštite na radu i sl.
</w:t>
      </w:r>
    </w:p>
    <w:p>
      <w:pPr>
        <w:jc w:val="both"/>
        <w:pStyle w:val="Normal"/>
      </w:pPr>
      <w:r>
        <w:rPr>
          <w:rFonts w:hAnsi="Times New Roman" w:cs="Times New Roman"/>
        </w:rPr>
        <w:t xml:space="preserve">
</w:t>
      </w:r>
    </w:p>
    <w:p>
      <w:pPr>
        <w:jc w:val="both"/>
        <w:pStyle w:val="Normal"/>
      </w:pPr>
      <w:r>
        <w:rPr>
          <w:rFonts w:hAnsi="Times New Roman" w:cs="Times New Roman"/>
        </w:rPr>
        <w:t xml:space="preserve">Osim izvora 11 Opći prihodi i primici iz kojih APPRRR  finacirati većinu rashoda a koji se odnose na poslovanje Agencije (plaće, režije, putni troškovi) , dio prihoda odnosi se na izvor 31 - Vlastiti prihodi, odnosno prihode ostvarene u internom kafiću. Iz istih su se financirali isključivo rashodi vezani uz poslovanje internog kafića. Dio prihoda ostvaren je na izvoru 51 - Pomoći EU – refundacija putnih troškova od strane Europske komisije. Ti prihodi u 2025.g. iznosili su 4.742,90 eura.</w:t>
      </w:r>
    </w:p>
    <w:p>
      <w:pPr>
        <w:jc w:val="left"/>
        <w:pStyle w:val="Heading4"/>
      </w:pPr>
      <w:r>
        <w:rPr>
          <w:rFonts w:hAnsi="Times New Roman" w:cs="Times New Roman"/>
        </w:rPr>
        <w:t xml:space="preserve">A841007 ORGANIZICIJA MEĐUNARODNIH DOGAĐANJA</w:t>
      </w:r>
    </w:p>
    <w:tbl>
      <w:tblPr w:type="dxa">
        <w:tblStyle w:val="StilTablice"/>
        <w:tblW w:w="10206"/>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3096</w:gridCol>
        <w:gridCol>3096</w:gridCol>
        <w:gridCol>3096</w:gridCol>
        <w:gridCol>3096</w:gridCol>
        <w:gridCol>3096</w:gridCol>
        <w:gridCol>3096</w:gridCol>
      </w:tblGrid>
      <w:tr>
        <w:trPr>
          <w:cantSplit/>
        </w:trPr>
        <w:tc>
          <w:tcPr>
            <w:tcW w:w="1632.96" w:type="dxa"/>
            <w:vAlign w:val="center"/>
            <w:shd w:val="clear" w:color="auto" w:fill="b5c0d8"/>
          </w:tcPr>
          <w:p>
            <w:pPr>
              <w:jc w:val="center"/>
              <w:pStyle w:val="CellHeader"/>
            </w:pPr>
            <w:r>
              <w:rPr>
                <w:rFonts w:hAnsi="Times New Roman" w:cs="Times New Roman"/>
              </w:rPr>
              <w:t xml:space="preserve">Naziv aktivnosti</w:t>
            </w:r>
          </w:p>
        </w:tc>
        <w:tc>
          <w:tcPr>
            <w:tcW w:w="2041.2" w:type="dxa"/>
            <w:vAlign w:val="center"/>
            <w:shd w:val="clear" w:color="auto" w:fill="b5c0d8"/>
          </w:tcPr>
          <w:p>
            <w:pPr>
              <w:jc w:val="center"/>
              <w:pStyle w:val="CellHeader"/>
            </w:pPr>
            <w:r>
              <w:rPr>
                <w:rFonts w:hAnsi="Times New Roman" w:cs="Times New Roman"/>
              </w:rPr>
              <w:t xml:space="preserve">Izvršenje 2024. (eur)</w:t>
            </w:r>
          </w:p>
        </w:tc>
        <w:tc>
          <w:tcPr>
            <w:tcW w:w="2041.2" w:type="dxa"/>
            <w:vAlign w:val="center"/>
            <w:shd w:val="clear" w:color="auto" w:fill="b5c0d8"/>
          </w:tcPr>
          <w:p>
            <w:pPr>
              <w:jc w:val="center"/>
              <w:pStyle w:val="CellHeader"/>
            </w:pPr>
            <w:r>
              <w:rPr>
                <w:rFonts w:hAnsi="Times New Roman" w:cs="Times New Roman"/>
              </w:rPr>
              <w:t xml:space="preserve">Plan 2025. (eur)</w:t>
            </w:r>
          </w:p>
        </w:tc>
        <w:tc>
          <w:tcPr>
            <w:tcW w:w="2041.2" w:type="dxa"/>
            <w:vAlign w:val="center"/>
            <w:shd w:val="clear" w:color="auto" w:fill="b5c0d8"/>
          </w:tcPr>
          <w:p>
            <w:pPr>
              <w:jc w:val="center"/>
              <w:pStyle w:val="CellHeader"/>
            </w:pPr>
            <w:r>
              <w:rPr>
                <w:rFonts w:hAnsi="Times New Roman" w:cs="Times New Roman"/>
              </w:rPr>
              <w:t xml:space="preserve">Izvršenje 2025. (eur)</w:t>
            </w:r>
          </w:p>
        </w:tc>
        <w:tc>
          <w:tcPr>
            <w:tcW w:w="1224.72" w:type="dxa"/>
            <w:vAlign w:val="center"/>
            <w:shd w:val="clear" w:color="auto" w:fill="b5c0d8"/>
          </w:tcPr>
          <w:p>
            <w:pPr>
              <w:jc w:val="center"/>
              <w:pStyle w:val="CellHeader"/>
            </w:pPr>
            <w:r>
              <w:rPr>
                <w:rFonts w:hAnsi="Times New Roman" w:cs="Times New Roman"/>
              </w:rPr>
              <w:t xml:space="preserve">Indeks izvršenje 2025./plan 2025.</w:t>
            </w:r>
          </w:p>
        </w:tc>
        <w:tc>
          <w:tcPr>
            <w:tcW w:w="1224.72" w:type="dxa"/>
            <w:vAlign w:val="center"/>
            <w:shd w:val="clear" w:color="auto" w:fill="b5c0d8"/>
          </w:tcPr>
          <w:p>
            <w:pPr>
              <w:jc w:val="center"/>
              <w:pStyle w:val="CellHeader"/>
            </w:pPr>
            <w:r>
              <w:rPr>
                <w:rFonts w:hAnsi="Times New Roman" w:cs="Times New Roman"/>
              </w:rPr>
              <w:t xml:space="preserve">Indeks izvršenje 2025./2024.</w:t>
            </w:r>
          </w:p>
        </w:tc>
      </w:tr>
      <w:tr>
        <w:trPr>
          <w:cantSplit/>
        </w:trPr>
        <w:tc>
          <w:tcPr>
            <w:tcW w:w="1632.96" w:type="dxa"/>
            <w:vAlign w:val="center"/>
          </w:tcPr>
          <w:p>
            <w:pPr>
              <w:jc w:val="left"/>
              <w:pStyle w:val="CellColumn"/>
            </w:pPr>
            <w:r>
              <w:rPr>
                <w:rFonts w:hAnsi="Times New Roman" w:cs="Times New Roman"/>
              </w:rPr>
              <w:t xml:space="preserve">A841007-ORGANIZICIJA MEĐUNARODNIH DOGAĐANJA</w:t>
            </w:r>
          </w:p>
        </w:tc>
        <w:tc>
          <w:tcPr>
            <w:tcW w:w="2041.2" w:type="dxa"/>
            <w:vAlign w:val="center"/>
          </w:tcPr>
          <w:p>
            <w:pPr>
              <w:jc w:val="right"/>
              <w:pStyle w:val="CellColumn"/>
            </w:pPr>
            <w:r>
              <w:rPr>
                <w:rFonts w:hAnsi="Times New Roman" w:cs="Times New Roman"/>
              </w:rPr>
              <w:t xml:space="preserve">00</w:t>
            </w:r>
          </w:p>
        </w:tc>
        <w:tc>
          <w:tcPr>
            <w:tcW w:w="2041.2" w:type="dxa"/>
            <w:vAlign w:val="center"/>
          </w:tcPr>
          <w:p>
            <w:pPr>
              <w:jc w:val="right"/>
              <w:pStyle w:val="CellColumn"/>
            </w:pPr>
            <w:r>
              <w:rPr>
                <w:rFonts w:hAnsi="Times New Roman" w:cs="Times New Roman"/>
              </w:rPr>
              <w:t xml:space="preserve">93.650</w:t>
            </w:r>
          </w:p>
        </w:tc>
        <w:tc>
          <w:tcPr>
            <w:tcW w:w="2041.2" w:type="dxa"/>
            <w:vAlign w:val="center"/>
          </w:tcPr>
          <w:p>
            <w:pPr>
              <w:jc w:val="right"/>
              <w:pStyle w:val="CellColumn"/>
            </w:pPr>
            <w:r>
              <w:rPr>
                <w:rFonts w:hAnsi="Times New Roman" w:cs="Times New Roman"/>
              </w:rPr>
              <w:t xml:space="preserve">89.914</w:t>
            </w:r>
          </w:p>
        </w:tc>
        <w:tc>
          <w:tcPr>
            <w:tcW w:w="1224.72" w:type="dxa"/>
            <w:vAlign w:val="center"/>
          </w:tcPr>
          <w:p>
            <w:pPr>
              <w:jc w:val="right"/>
              <w:pStyle w:val="CellColumn"/>
            </w:pPr>
            <w:r>
              <w:rPr>
                <w:rFonts w:hAnsi="Times New Roman" w:cs="Times New Roman"/>
              </w:rPr>
              <w:t xml:space="preserve">96,0</w:t>
            </w:r>
          </w:p>
        </w:tc>
        <w:tc>
          <w:tcPr>
            <w:tcW w:w="1224.72" w:type="dxa"/>
            <w:vAlign w:val="center"/>
          </w:tcPr>
          <w:p>
            <w:pPr>
              <w:jc w:val="right"/>
              <w:pStyle w:val="CellColumn"/>
            </w:pPr>
            <w:r>
              <w:rPr>
                <w:rFonts w:hAnsi="Times New Roman" w:cs="Times New Roman"/>
              </w:rPr>
              <w:t xml:space="preserve">0,0</w:t>
            </w:r>
          </w:p>
        </w:tc>
      </w:tr>
    </w:tbl>
    <w:p>
      <w:pPr>
        <w:jc w:val="left"/>
      </w:pPr>
      <w:r>
        <w:rPr>
          <w:rFonts w:hAnsi="Times New Roman" w:cs="Times New Roman"/>
        </w:rPr>
        <w:t xml:space="preserve"/>
      </w:r>
    </w:p>
    <w:p>
      <w:pPr>
        <w:jc w:val="left"/>
        <w:pStyle w:val="Heading8"/>
      </w:pPr>
      <w:r>
        <w:rPr>
          <w:rFonts w:hAnsi="Times New Roman" w:cs="Times New Roman"/>
        </w:rPr>
        <w:t xml:space="preserve">Zakonske i druge pravne osnove</w:t>
      </w:r>
    </w:p>
    <w:p>
      <w:pPr>
        <w:jc w:val="both"/>
        <w:pStyle w:val="Normal"/>
      </w:pPr>
      <w:r>
        <w:rPr>
          <w:rFonts w:hAnsi="Times New Roman" w:cs="Times New Roman"/>
        </w:rPr>
        <w:t xml:space="preserve">- Bilateralni sporazumi o suradnji između APPRRR-a i partnerskih institucija država članica EU i država
</w:t>
      </w:r>
    </w:p>
    <w:p>
      <w:pPr>
        <w:jc w:val="both"/>
        <w:pStyle w:val="Normal"/>
      </w:pPr>
      <w:r>
        <w:rPr>
          <w:rFonts w:hAnsi="Times New Roman" w:cs="Times New Roman"/>
        </w:rPr>
        <w:t xml:space="preserve">kandidatkinja za pristup EU
</w:t>
      </w:r>
    </w:p>
    <w:p>
      <w:pPr>
        <w:jc w:val="both"/>
        <w:pStyle w:val="Normal"/>
      </w:pPr>
      <w:r>
        <w:rPr>
          <w:rFonts w:hAnsi="Times New Roman" w:cs="Times New Roman"/>
        </w:rPr>
        <w:t xml:space="preserve">- Zakon o provedbi projekata međunarodne institucionalne suradnje europske unije i projekata tehničke pomoći</w:t>
      </w:r>
    </w:p>
    <w:p>
      <w:pPr>
        <w:jc w:val="left"/>
        <w:pStyle w:val="Heading8"/>
      </w:pPr>
      <w:r>
        <w:rPr>
          <w:rFonts w:hAnsi="Times New Roman" w:cs="Times New Roman"/>
        </w:rPr>
        <w:t xml:space="preserve">Opis aktivnosti</w:t>
      </w:r>
    </w:p>
    <w:p>
      <w:pPr>
        <w:jc w:val="both"/>
        <w:pStyle w:val="Normal"/>
      </w:pPr>
      <w:r>
        <w:rPr>
          <w:rFonts w:hAnsi="Times New Roman" w:cs="Times New Roman"/>
        </w:rPr>
        <w:t xml:space="preserve">Agencija za plaćanja u poljoprivredi, ribarstvu i ruralnom razvoju potiče i razvija razne oblike međunarodne suradnje s nizom europskih Agencija za plaćanja i drugim relevantnim institucijama. Suradnja uključuje razmjenu stručnjaka, održavanje međunarodnih konferencija,seminara, organizaciju studijskih posjeta, organizaciju sastanaka na stručnoj i visokoj razini te stručnousavršavanje.  Planirani bilateralni sastanci neće dovesti do značajnijih troškova osim eventualno službenih putovanja.
</w:t>
      </w:r>
    </w:p>
    <w:p>
      <w:pPr>
        <w:jc w:val="both"/>
        <w:pStyle w:val="Normal"/>
      </w:pPr>
      <w:r>
        <w:rPr>
          <w:rFonts w:hAnsi="Times New Roman" w:cs="Times New Roman"/>
        </w:rPr>
        <w:t xml:space="preserve">2025.g. APPRRR je organizirala konferencije PantaRhei. Panta Rhei je ICT radna grupa koju čine predstavnici ICT stručnjaka Agencija za plaćanja EU. Svrha ove radne grupe je ostvariti što bolju razmjenu iskustava i znanja u području informacijskih tehnologija u agencijama za plaćanja kako bi se poboljšavala provedba ZPP-a. Okupljaju (uz predstavnike Agencija za plaćanja svih zemalja članica EU) također i predstavnike Europske komisije, Europskog revizorskog suda, te predstavnike zemlja kandidatkinja i zemalja pristupnica EU. Hrvatska Agencija za plaćanja uz Belgiju, Dansku, Portugal, Irsku, Cipar i Finsku nalazi se u Upravnom odboru PantaRhei grupe kojom trenutno predsjeda slovenska Agencija za plaćanja. PR Upravni odbor sastaje se dva puta godišnje. Također, dva puta godišnje organizira se konferencija na kojoj osim ZČ sudjeluju predstavnici Europske komisije i Europskog revizorskog suda. Konferencija se svaki put održava u drugoj ZČ koje se rotiraju. Države članice EU plaćaju godišnju članarinu tajništvu PantaRhei 4000 eura. Europska komisija sufinancira organizaciju konferencije u iznosu od 60.000 eura (izvor 51 - Pomoći EU) te daje na raspolaganje prevoditelje iz Uprave za prevođenje DG Agrija. AAPPRRR je preuzela domaćinstvo 64. Panta Rhei konferencije u Hrvatskoj.</w:t>
      </w:r>
    </w:p>
    <w:p>
      <w:pPr>
        <w:jc w:val="left"/>
        <w:pStyle w:val="Heading8"/>
      </w:pPr>
      <w:r>
        <w:rPr>
          <w:rFonts w:hAnsi="Times New Roman" w:cs="Times New Roman"/>
        </w:rPr>
        <w:t xml:space="preserve">Pokazatelji rezultata</w:t>
      </w:r>
    </w:p>
    <w:tbl>
      <w:tblPr w:type="dxa">
        <w:tblStyle w:val="StilTablice"/>
        <w:tblW w:w="10206"/>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3096</w:gridCol>
        <w:gridCol>3096</w:gridCol>
        <w:gridCol>3096</w:gridCol>
        <w:gridCol>3096</w:gridCol>
        <w:gridCol>3096</w:gridCol>
        <w:gridCol>3096</w:gridCol>
        <w:gridCol>3096</w:gridCol>
      </w:tblGrid>
      <w:tr>
        <w:trPr>
          <w:cantSplit/>
        </w:trPr>
        <w:tc>
          <w:tcPr>
            <w:tcW w:w="2551.5" w:type="dxa"/>
            <w:vAlign w:val="center"/>
            <w:shd w:val="clear" w:color="auto" w:fill="b5c0d8"/>
          </w:tcPr>
          <w:p>
            <w:pPr>
              <w:jc w:val="center"/>
            </w:pPr>
            <w:r>
              <w:rPr>
                <w:rFonts w:hAnsi="Times New Roman" w:cs="Times New Roman"/>
              </w:rPr>
              <w:t xml:space="preserve">Pokazatelj rezultata</w:t>
            </w:r>
          </w:p>
        </w:tc>
        <w:tc>
          <w:tcPr>
            <w:tcW w:w="2551.5" w:type="dxa"/>
            <w:vAlign w:val="center"/>
            <w:shd w:val="clear" w:color="auto" w:fill="b5c0d8"/>
          </w:tcPr>
          <w:p>
            <w:pPr>
              <w:jc w:val="center"/>
              <w:pStyle w:val="CellHeader"/>
            </w:pPr>
            <w:r>
              <w:rPr>
                <w:rFonts w:hAnsi="Times New Roman" w:cs="Times New Roman"/>
              </w:rPr>
              <w:t xml:space="preserve">Definicija</w:t>
            </w:r>
          </w:p>
        </w:tc>
        <w:tc>
          <w:tcPr>
            <w:tcW w:w="1020.6" w:type="dxa"/>
            <w:vAlign w:val="center"/>
            <w:shd w:val="clear" w:color="auto" w:fill="b5c0d8"/>
          </w:tcPr>
          <w:p>
            <w:pPr>
              <w:jc w:val="center"/>
              <w:pStyle w:val="CellHeader"/>
            </w:pPr>
            <w:r>
              <w:rPr>
                <w:rFonts w:hAnsi="Times New Roman" w:cs="Times New Roman"/>
              </w:rPr>
              <w:t xml:space="preserve">Jedinica</w:t>
            </w:r>
          </w:p>
        </w:tc>
        <w:tc>
          <w:tcPr>
            <w:tcW w:w="1020.6" w:type="dxa"/>
            <w:vAlign w:val="center"/>
            <w:shd w:val="clear" w:color="auto" w:fill="b5c0d8"/>
          </w:tcPr>
          <w:p>
            <w:pPr>
              <w:jc w:val="center"/>
              <w:pStyle w:val="CellHeader"/>
            </w:pPr>
            <w:r>
              <w:rPr>
                <w:rFonts w:hAnsi="Times New Roman" w:cs="Times New Roman"/>
              </w:rPr>
              <w:t xml:space="preserve">Polazna vrijednost</w:t>
            </w:r>
          </w:p>
        </w:tc>
        <w:tc>
          <w:tcPr>
            <w:tcW w:w="1020.6" w:type="dxa"/>
            <w:vAlign w:val="center"/>
            <w:shd w:val="clear" w:color="auto" w:fill="b5c0d8"/>
          </w:tcPr>
          <w:p>
            <w:pPr>
              <w:jc w:val="center"/>
              <w:pStyle w:val="CellHeader"/>
            </w:pPr>
            <w:r>
              <w:rPr>
                <w:rFonts w:hAnsi="Times New Roman" w:cs="Times New Roman"/>
              </w:rPr>
              <w:t xml:space="preserve">Izvor podataka</w:t>
            </w:r>
          </w:p>
        </w:tc>
        <w:tc>
          <w:tcPr>
            <w:tcW w:w="1020.6" w:type="dxa"/>
            <w:vAlign w:val="center"/>
            <w:shd w:val="clear" w:color="auto" w:fill="b5c0d8"/>
          </w:tcPr>
          <w:p>
            <w:pPr>
              <w:jc w:val="center"/>
              <w:pStyle w:val="CellHeader"/>
            </w:pPr>
            <w:r>
              <w:rPr>
                <w:rFonts w:hAnsi="Times New Roman" w:cs="Times New Roman"/>
              </w:rPr>
              <w:t xml:space="preserve">Ciljana vrijednost (2025.)</w:t>
            </w:r>
          </w:p>
        </w:tc>
        <w:tc>
          <w:tcPr>
            <w:tcW w:w="1020.6" w:type="dxa"/>
            <w:vAlign w:val="center"/>
            <w:shd w:val="clear" w:color="auto" w:fill="b5c0d8"/>
          </w:tcPr>
          <w:p>
            <w:pPr>
              <w:jc w:val="center"/>
              <w:pStyle w:val="CellHeader"/>
            </w:pPr>
            <w:r>
              <w:rPr>
                <w:rFonts w:hAnsi="Times New Roman" w:cs="Times New Roman"/>
              </w:rPr>
              <w:t xml:space="preserve">Ostvarena vrijednost (2025.)</w:t>
            </w:r>
          </w:p>
        </w:tc>
      </w:tr>
      <w:tr>
        <w:trPr>
          <w:cantSplit/>
        </w:trPr>
        <w:tc>
          <w:tcPr>
            <w:tcW w:w="2551.5" w:type="dxa"/>
            <w:vAlign w:val="center"/>
          </w:tcPr>
          <w:p>
            <w:pPr>
              <w:jc w:val="left"/>
              <w:pStyle w:val="CellColumn"/>
            </w:pPr>
            <w:r>
              <w:rPr>
                <w:rFonts w:hAnsi="Times New Roman" w:cs="Times New Roman"/>
              </w:rPr>
              <w:t xml:space="preserve">Broj održanih bilateralnih i multiralnih sastanaka/događaja</w:t>
            </w:r>
          </w:p>
        </w:tc>
        <w:tc>
          <w:tcPr>
            <w:tcW w:w="2551.5" w:type="dxa"/>
            <w:vAlign w:val="center"/>
          </w:tcPr>
          <w:p>
            <w:pPr>
              <w:jc w:val="left"/>
              <w:pStyle w:val="CellColumn"/>
            </w:pPr>
            <w:r>
              <w:rPr>
                <w:rFonts w:hAnsi="Times New Roman" w:cs="Times New Roman"/>
              </w:rPr>
              <w:t xml:space="preserve">Putem sastanaka i
</w:t>
            </w:r>
          </w:p>
          <w:p>
            <w:pPr>
              <w:jc w:val="left"/>
              <w:pStyle w:val="CellColumn"/>
            </w:pPr>
            <w:r>
              <w:rPr>
                <w:rFonts w:hAnsi="Times New Roman" w:cs="Times New Roman"/>
              </w:rPr>
              <w:t xml:space="preserve">događaja unaprijedit
</w:t>
            </w:r>
          </w:p>
          <w:p>
            <w:pPr>
              <w:jc w:val="left"/>
              <w:pStyle w:val="CellColumn"/>
            </w:pPr>
            <w:r>
              <w:rPr>
                <w:rFonts w:hAnsi="Times New Roman" w:cs="Times New Roman"/>
              </w:rPr>
              <w:t xml:space="preserve">će se odnosi s drugim
</w:t>
            </w:r>
          </w:p>
          <w:p>
            <w:pPr>
              <w:jc w:val="left"/>
              <w:pStyle w:val="CellColumn"/>
            </w:pPr>
            <w:r>
              <w:rPr>
                <w:rFonts w:hAnsi="Times New Roman" w:cs="Times New Roman"/>
              </w:rPr>
              <w:t xml:space="preserve">državama,
</w:t>
            </w:r>
          </w:p>
          <w:p>
            <w:pPr>
              <w:jc w:val="left"/>
              <w:pStyle w:val="CellColumn"/>
            </w:pPr>
            <w:r>
              <w:rPr>
                <w:rFonts w:hAnsi="Times New Roman" w:cs="Times New Roman"/>
              </w:rPr>
              <w:t xml:space="preserve">međunarodnim tijelima</w:t>
            </w:r>
          </w:p>
        </w:tc>
        <w:tc>
          <w:tcPr>
            <w:tcW w:w="1020.6" w:type="dxa"/>
            <w:vAlign w:val="center"/>
          </w:tcPr>
          <w:p>
            <w:pPr>
              <w:jc w:val="right"/>
              <w:pStyle w:val="CellColumn"/>
            </w:pPr>
            <w:r>
              <w:rPr>
                <w:rFonts w:hAnsi="Times New Roman" w:cs="Times New Roman"/>
              </w:rPr>
              <w:t xml:space="preserve">broj</w:t>
            </w:r>
          </w:p>
        </w:tc>
        <w:tc>
          <w:tcPr>
            <w:tcW w:w="1020.6" w:type="dxa"/>
            <w:vAlign w:val="center"/>
          </w:tcPr>
          <w:p>
            <w:pPr>
              <w:jc w:val="right"/>
              <w:pStyle w:val="CellColumn"/>
            </w:pPr>
            <w:r>
              <w:rPr>
                <w:rFonts w:hAnsi="Times New Roman" w:cs="Times New Roman"/>
              </w:rPr>
              <w:t xml:space="preserve">0</w:t>
            </w:r>
          </w:p>
        </w:tc>
        <w:tc>
          <w:tcPr>
            <w:tcW w:w="1020.6" w:type="dxa"/>
            <w:vAlign w:val="center"/>
          </w:tcPr>
          <w:p>
            <w:pPr>
              <w:jc w:val="right"/>
              <w:pStyle w:val="CellColumn"/>
            </w:pPr>
            <w:r>
              <w:rPr>
                <w:rFonts w:hAnsi="Times New Roman" w:cs="Times New Roman"/>
              </w:rPr>
              <w:t xml:space="preserve">APPRRR</w:t>
            </w:r>
          </w:p>
        </w:tc>
        <w:tc>
          <w:tcPr>
            <w:tcW w:w="1020.6" w:type="dxa"/>
            <w:vAlign w:val="center"/>
          </w:tcPr>
          <w:p>
            <w:pPr>
              <w:jc w:val="right"/>
              <w:pStyle w:val="CellColumn"/>
            </w:pPr>
            <w:r>
              <w:rPr>
                <w:rFonts w:hAnsi="Times New Roman" w:cs="Times New Roman"/>
              </w:rPr>
              <w:t xml:space="preserve">40</w:t>
            </w:r>
          </w:p>
        </w:tc>
        <w:tc>
          <w:tcPr>
            <w:tcW w:w="1020.6" w:type="dxa"/>
            <w:vAlign w:val="center"/>
          </w:tcPr>
          <w:p>
            <w:pPr>
              <w:jc w:val="right"/>
              <w:pStyle w:val="CellColumn"/>
            </w:pPr>
            <w:r>
              <w:rPr>
                <w:rFonts w:hAnsi="Times New Roman" w:cs="Times New Roman"/>
              </w:rPr>
              <w:t xml:space="preserve">41</w:t>
            </w:r>
          </w:p>
        </w:tc>
      </w:tr>
      <w:tr>
        <w:trPr>
          <w:cantSplit/>
        </w:trPr>
        <w:tc>
          <w:tcPr>
            <w:tcW w:w="2551.5" w:type="dxa"/>
            <w:vAlign w:val="center"/>
          </w:tcPr>
          <w:p>
            <w:pPr>
              <w:jc w:val="left"/>
              <w:pStyle w:val="CellColumn"/>
            </w:pPr>
            <w:r>
              <w:rPr>
                <w:rFonts w:hAnsi="Times New Roman" w:cs="Times New Roman"/>
              </w:rPr>
              <w:t xml:space="preserve">Broj organiziranih međunarodnih konferencija</w:t>
            </w:r>
          </w:p>
        </w:tc>
        <w:tc>
          <w:tcPr>
            <w:tcW w:w="2551.5" w:type="dxa"/>
            <w:vAlign w:val="center"/>
          </w:tcPr>
          <w:p>
            <w:pPr>
              <w:jc w:val="left"/>
              <w:pStyle w:val="CellColumn"/>
            </w:pPr>
            <w:r>
              <w:rPr>
                <w:rFonts w:hAnsi="Times New Roman" w:cs="Times New Roman"/>
              </w:rPr>
              <w:t xml:space="preserve">Suradnja s međunarodnim institucijama i razmjena znanja i iskustava kroz organizaciju međunarodnih konferencija</w:t>
            </w:r>
          </w:p>
        </w:tc>
        <w:tc>
          <w:tcPr>
            <w:tcW w:w="1020.6" w:type="dxa"/>
            <w:vAlign w:val="center"/>
          </w:tcPr>
          <w:p>
            <w:pPr>
              <w:jc w:val="right"/>
              <w:pStyle w:val="CellColumn"/>
            </w:pPr>
            <w:r>
              <w:rPr>
                <w:rFonts w:hAnsi="Times New Roman" w:cs="Times New Roman"/>
              </w:rPr>
              <w:t xml:space="preserve">broj</w:t>
            </w:r>
          </w:p>
        </w:tc>
        <w:tc>
          <w:tcPr>
            <w:tcW w:w="1020.6" w:type="dxa"/>
            <w:vAlign w:val="center"/>
          </w:tcPr>
          <w:p>
            <w:pPr>
              <w:jc w:val="right"/>
              <w:pStyle w:val="CellColumn"/>
            </w:pPr>
            <w:r>
              <w:rPr>
                <w:rFonts w:hAnsi="Times New Roman" w:cs="Times New Roman"/>
              </w:rPr>
              <w:t xml:space="preserve">0</w:t>
            </w:r>
          </w:p>
        </w:tc>
        <w:tc>
          <w:tcPr>
            <w:tcW w:w="1020.6" w:type="dxa"/>
            <w:vAlign w:val="center"/>
          </w:tcPr>
          <w:p>
            <w:pPr>
              <w:jc w:val="right"/>
              <w:pStyle w:val="CellColumn"/>
            </w:pPr>
            <w:r>
              <w:rPr>
                <w:rFonts w:hAnsi="Times New Roman" w:cs="Times New Roman"/>
              </w:rPr>
              <w:t xml:space="preserve">APPRRR</w:t>
            </w:r>
          </w:p>
        </w:tc>
        <w:tc>
          <w:tcPr>
            <w:tcW w:w="1020.6" w:type="dxa"/>
            <w:vAlign w:val="center"/>
          </w:tcPr>
          <w:p>
            <w:pPr>
              <w:jc w:val="right"/>
              <w:pStyle w:val="CellColumn"/>
            </w:pPr>
            <w:r>
              <w:rPr>
                <w:rFonts w:hAnsi="Times New Roman" w:cs="Times New Roman"/>
              </w:rPr>
              <w:t xml:space="preserve">1</w:t>
            </w:r>
          </w:p>
        </w:tc>
        <w:tc>
          <w:tcPr>
            <w:tcW w:w="1020.6" w:type="dxa"/>
            <w:vAlign w:val="center"/>
          </w:tcPr>
          <w:p>
            <w:pPr>
              <w:jc w:val="right"/>
              <w:pStyle w:val="CellColumn"/>
            </w:pPr>
            <w:r>
              <w:rPr>
                <w:rFonts w:hAnsi="Times New Roman" w:cs="Times New Roman"/>
              </w:rPr>
              <w:t xml:space="preserve">1</w:t>
            </w:r>
          </w:p>
        </w:tc>
      </w:tr>
    </w:tbl>
    <w:p>
      <w:pPr>
        <w:jc w:val="left"/>
      </w:pPr>
      <w:r>
        <w:rPr>
          <w:rFonts w:hAnsi="Times New Roman" w:cs="Times New Roman"/>
        </w:rPr>
        <w:t xml:space="preserve"/>
      </w:r>
    </w:p>
    <w:p>
      <w:pPr>
        <w:jc w:val="left"/>
        <w:pStyle w:val="Heading4"/>
      </w:pPr>
      <w:r>
        <w:rPr>
          <w:rFonts w:hAnsi="Times New Roman" w:cs="Times New Roman"/>
        </w:rPr>
        <w:t xml:space="preserve">K650068 USPOSTAVA INTEGRIRANOG ADMINISTRATIVNOG  KONTROLNOG SUSTAVA - LPIS</w:t>
      </w:r>
    </w:p>
    <w:tbl>
      <w:tblPr w:type="dxa">
        <w:tblStyle w:val="StilTablice"/>
        <w:tblW w:w="10206"/>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3096</w:gridCol>
        <w:gridCol>3096</w:gridCol>
        <w:gridCol>3096</w:gridCol>
        <w:gridCol>3096</w:gridCol>
        <w:gridCol>3096</w:gridCol>
        <w:gridCol>3096</w:gridCol>
      </w:tblGrid>
      <w:tr>
        <w:trPr>
          <w:cantSplit/>
        </w:trPr>
        <w:tc>
          <w:tcPr>
            <w:tcW w:w="1632.96" w:type="dxa"/>
            <w:vAlign w:val="center"/>
            <w:shd w:val="clear" w:color="auto" w:fill="b5c0d8"/>
          </w:tcPr>
          <w:p>
            <w:pPr>
              <w:jc w:val="center"/>
              <w:pStyle w:val="CellHeader"/>
            </w:pPr>
            <w:r>
              <w:rPr>
                <w:rFonts w:hAnsi="Times New Roman" w:cs="Times New Roman"/>
              </w:rPr>
              <w:t xml:space="preserve">Naziv aktivnosti</w:t>
            </w:r>
          </w:p>
        </w:tc>
        <w:tc>
          <w:tcPr>
            <w:tcW w:w="2041.2" w:type="dxa"/>
            <w:vAlign w:val="center"/>
            <w:shd w:val="clear" w:color="auto" w:fill="b5c0d8"/>
          </w:tcPr>
          <w:p>
            <w:pPr>
              <w:jc w:val="center"/>
              <w:pStyle w:val="CellHeader"/>
            </w:pPr>
            <w:r>
              <w:rPr>
                <w:rFonts w:hAnsi="Times New Roman" w:cs="Times New Roman"/>
              </w:rPr>
              <w:t xml:space="preserve">Izvršenje 2024. (eur)</w:t>
            </w:r>
          </w:p>
        </w:tc>
        <w:tc>
          <w:tcPr>
            <w:tcW w:w="2041.2" w:type="dxa"/>
            <w:vAlign w:val="center"/>
            <w:shd w:val="clear" w:color="auto" w:fill="b5c0d8"/>
          </w:tcPr>
          <w:p>
            <w:pPr>
              <w:jc w:val="center"/>
              <w:pStyle w:val="CellHeader"/>
            </w:pPr>
            <w:r>
              <w:rPr>
                <w:rFonts w:hAnsi="Times New Roman" w:cs="Times New Roman"/>
              </w:rPr>
              <w:t xml:space="preserve">Plan 2025. (eur)</w:t>
            </w:r>
          </w:p>
        </w:tc>
        <w:tc>
          <w:tcPr>
            <w:tcW w:w="2041.2" w:type="dxa"/>
            <w:vAlign w:val="center"/>
            <w:shd w:val="clear" w:color="auto" w:fill="b5c0d8"/>
          </w:tcPr>
          <w:p>
            <w:pPr>
              <w:jc w:val="center"/>
              <w:pStyle w:val="CellHeader"/>
            </w:pPr>
            <w:r>
              <w:rPr>
                <w:rFonts w:hAnsi="Times New Roman" w:cs="Times New Roman"/>
              </w:rPr>
              <w:t xml:space="preserve">Izvršenje 2025. (eur)</w:t>
            </w:r>
          </w:p>
        </w:tc>
        <w:tc>
          <w:tcPr>
            <w:tcW w:w="1224.72" w:type="dxa"/>
            <w:vAlign w:val="center"/>
            <w:shd w:val="clear" w:color="auto" w:fill="b5c0d8"/>
          </w:tcPr>
          <w:p>
            <w:pPr>
              <w:jc w:val="center"/>
              <w:pStyle w:val="CellHeader"/>
            </w:pPr>
            <w:r>
              <w:rPr>
                <w:rFonts w:hAnsi="Times New Roman" w:cs="Times New Roman"/>
              </w:rPr>
              <w:t xml:space="preserve">Indeks izvršenje 2025./plan 2025.</w:t>
            </w:r>
          </w:p>
        </w:tc>
        <w:tc>
          <w:tcPr>
            <w:tcW w:w="1224.72" w:type="dxa"/>
            <w:vAlign w:val="center"/>
            <w:shd w:val="clear" w:color="auto" w:fill="b5c0d8"/>
          </w:tcPr>
          <w:p>
            <w:pPr>
              <w:jc w:val="center"/>
              <w:pStyle w:val="CellHeader"/>
            </w:pPr>
            <w:r>
              <w:rPr>
                <w:rFonts w:hAnsi="Times New Roman" w:cs="Times New Roman"/>
              </w:rPr>
              <w:t xml:space="preserve">Indeks izvršenje 2025./2024.</w:t>
            </w:r>
          </w:p>
        </w:tc>
      </w:tr>
      <w:tr>
        <w:trPr>
          <w:cantSplit/>
        </w:trPr>
        <w:tc>
          <w:tcPr>
            <w:tcW w:w="1632.96" w:type="dxa"/>
            <w:vAlign w:val="center"/>
          </w:tcPr>
          <w:p>
            <w:pPr>
              <w:jc w:val="left"/>
              <w:pStyle w:val="CellColumn"/>
            </w:pPr>
            <w:r>
              <w:rPr>
                <w:rFonts w:hAnsi="Times New Roman" w:cs="Times New Roman"/>
              </w:rPr>
              <w:t xml:space="preserve">K650068-USPOSTAVA INTEGRIRANOG ADMINISTRATIVNOG  KONTROLNOG SUSTAVA - LPIS</w:t>
            </w:r>
          </w:p>
        </w:tc>
        <w:tc>
          <w:tcPr>
            <w:tcW w:w="2041.2" w:type="dxa"/>
            <w:vAlign w:val="center"/>
          </w:tcPr>
          <w:p>
            <w:pPr>
              <w:jc w:val="right"/>
              <w:pStyle w:val="CellColumn"/>
            </w:pPr>
            <w:r>
              <w:rPr>
                <w:rFonts w:hAnsi="Times New Roman" w:cs="Times New Roman"/>
              </w:rPr>
              <w:t xml:space="preserve">711.094</w:t>
            </w:r>
          </w:p>
        </w:tc>
        <w:tc>
          <w:tcPr>
            <w:tcW w:w="2041.2" w:type="dxa"/>
            <w:vAlign w:val="center"/>
          </w:tcPr>
          <w:p>
            <w:pPr>
              <w:jc w:val="right"/>
              <w:pStyle w:val="CellColumn"/>
            </w:pPr>
            <w:r>
              <w:rPr>
                <w:rFonts w:hAnsi="Times New Roman" w:cs="Times New Roman"/>
              </w:rPr>
              <w:t xml:space="preserve">679.952</w:t>
            </w:r>
          </w:p>
        </w:tc>
        <w:tc>
          <w:tcPr>
            <w:tcW w:w="2041.2" w:type="dxa"/>
            <w:vAlign w:val="center"/>
          </w:tcPr>
          <w:p>
            <w:pPr>
              <w:jc w:val="right"/>
              <w:pStyle w:val="CellColumn"/>
            </w:pPr>
            <w:r>
              <w:rPr>
                <w:rFonts w:hAnsi="Times New Roman" w:cs="Times New Roman"/>
              </w:rPr>
              <w:t xml:space="preserve">679.919</w:t>
            </w:r>
          </w:p>
        </w:tc>
        <w:tc>
          <w:tcPr>
            <w:tcW w:w="1224.72" w:type="dxa"/>
            <w:vAlign w:val="center"/>
          </w:tcPr>
          <w:p>
            <w:pPr>
              <w:jc w:val="right"/>
              <w:pStyle w:val="CellColumn"/>
            </w:pPr>
            <w:r>
              <w:rPr>
                <w:rFonts w:hAnsi="Times New Roman" w:cs="Times New Roman"/>
              </w:rPr>
              <w:t xml:space="preserve">100,0</w:t>
            </w:r>
          </w:p>
        </w:tc>
        <w:tc>
          <w:tcPr>
            <w:tcW w:w="1224.72" w:type="dxa"/>
            <w:vAlign w:val="center"/>
          </w:tcPr>
          <w:p>
            <w:pPr>
              <w:jc w:val="right"/>
              <w:pStyle w:val="CellColumn"/>
            </w:pPr>
            <w:r>
              <w:rPr>
                <w:rFonts w:hAnsi="Times New Roman" w:cs="Times New Roman"/>
              </w:rPr>
              <w:t xml:space="preserve">95,6</w:t>
            </w:r>
          </w:p>
        </w:tc>
      </w:tr>
    </w:tbl>
    <w:p>
      <w:pPr>
        <w:jc w:val="left"/>
      </w:pPr>
      <w:r>
        <w:rPr>
          <w:rFonts w:hAnsi="Times New Roman" w:cs="Times New Roman"/>
        </w:rPr>
        <w:t xml:space="preserve"/>
      </w:r>
    </w:p>
    <w:p>
      <w:pPr>
        <w:jc w:val="left"/>
        <w:pStyle w:val="Heading8"/>
      </w:pPr>
      <w:r>
        <w:rPr>
          <w:rFonts w:hAnsi="Times New Roman" w:cs="Times New Roman"/>
        </w:rPr>
        <w:t xml:space="preserve">Zakonske i druge pravne osnove</w:t>
      </w:r>
    </w:p>
    <w:p>
      <w:pPr>
        <w:jc w:val="both"/>
        <w:pStyle w:val="Normal"/>
      </w:pPr>
      <w:r>
        <w:rPr>
          <w:rFonts w:hAnsi="Times New Roman" w:cs="Times New Roman"/>
        </w:rPr>
        <w:t xml:space="preserve">- Strateški plana Zajedničke poljoprivredne politike 2023. - 2027.
</w:t>
      </w:r>
    </w:p>
    <w:p>
      <w:pPr>
        <w:jc w:val="both"/>
        <w:pStyle w:val="Normal"/>
      </w:pPr>
      <w:r>
        <w:rPr>
          <w:rFonts w:hAnsi="Times New Roman" w:cs="Times New Roman"/>
        </w:rPr>
        <w:t xml:space="preserve">- Programa državne potpore za iznimno osjetljive sektore u poljoprivredi
</w:t>
      </w:r>
    </w:p>
    <w:p>
      <w:pPr>
        <w:jc w:val="both"/>
        <w:pStyle w:val="Normal"/>
      </w:pPr>
      <w:r>
        <w:rPr>
          <w:rFonts w:hAnsi="Times New Roman" w:cs="Times New Roman"/>
        </w:rPr>
        <w:t xml:space="preserve">- Pravilnik o provedbi izravne potpore poljoprivredi i IAKS mjera ruralnog razvoja u 2023.
</w:t>
      </w:r>
    </w:p>
    <w:p>
      <w:pPr>
        <w:jc w:val="both"/>
        <w:pStyle w:val="Normal"/>
      </w:pPr>
      <w:r>
        <w:rPr>
          <w:rFonts w:hAnsi="Times New Roman" w:cs="Times New Roman"/>
        </w:rPr>
        <w:t xml:space="preserve">- Uredba (EU) br. 2021/2115 Europskog parlamenta i Vijeća od 2. prosinca 2021. o utvrđivanju pravila o potpori za 
</w:t>
      </w:r>
    </w:p>
    <w:p>
      <w:pPr>
        <w:jc w:val="both"/>
        <w:pStyle w:val="Normal"/>
      </w:pPr>
      <w:r>
        <w:rPr>
          <w:rFonts w:hAnsi="Times New Roman" w:cs="Times New Roman"/>
        </w:rPr>
        <w:t xml:space="preserve">  strateške planove koje izrađuju države članice u okviru zajedničke poljoprivredne politike (strateški planovi u okviru ZPP- 
</w:t>
      </w:r>
    </w:p>
    <w:p>
      <w:pPr>
        <w:jc w:val="both"/>
        <w:pStyle w:val="Normal"/>
      </w:pPr>
      <w:r>
        <w:rPr>
          <w:rFonts w:hAnsi="Times New Roman" w:cs="Times New Roman"/>
        </w:rPr>
        <w:t xml:space="preserve">  a) i koji se financiraju iz Europskog fonda za jamstva u poljoprivredi (EFJP) i Europskog poljoprivrednog fonda za ruralni 
</w:t>
      </w:r>
    </w:p>
    <w:p>
      <w:pPr>
        <w:jc w:val="both"/>
        <w:pStyle w:val="Normal"/>
      </w:pPr>
      <w:r>
        <w:rPr>
          <w:rFonts w:hAnsi="Times New Roman" w:cs="Times New Roman"/>
        </w:rPr>
        <w:t xml:space="preserve">  razvoj (EPFRR) te o stavljanju izvan snage uredbi (EU) br. 1305/2013 i (EU) br. 1307/2013
</w:t>
      </w:r>
    </w:p>
    <w:p>
      <w:pPr>
        <w:jc w:val="both"/>
        <w:pStyle w:val="Normal"/>
      </w:pPr>
      <w:r>
        <w:rPr>
          <w:rFonts w:hAnsi="Times New Roman" w:cs="Times New Roman"/>
        </w:rPr>
        <w:t xml:space="preserve">- Provedbena uredba Komisije (EU) 2022/1475 оd 6. rujna 2022. o utvrđivanju detaljnih pravila za provedbu Uredbe (EU) 
</w:t>
      </w:r>
    </w:p>
    <w:p>
      <w:pPr>
        <w:jc w:val="both"/>
        <w:pStyle w:val="Normal"/>
      </w:pPr>
      <w:r>
        <w:rPr>
          <w:rFonts w:hAnsi="Times New Roman" w:cs="Times New Roman"/>
        </w:rPr>
        <w:t xml:space="preserve">  2021/2115 Europskog parlamenta i Vijeća u pogledu evaluacije strateških planova u okviru ZPP-a i pružanja informacija 
</w:t>
      </w:r>
    </w:p>
    <w:p>
      <w:pPr>
        <w:jc w:val="both"/>
        <w:pStyle w:val="Normal"/>
      </w:pPr>
      <w:r>
        <w:rPr>
          <w:rFonts w:hAnsi="Times New Roman" w:cs="Times New Roman"/>
        </w:rPr>
        <w:t xml:space="preserve">  za praćenje i evaluaciju
</w:t>
      </w:r>
    </w:p>
    <w:p>
      <w:pPr>
        <w:jc w:val="both"/>
        <w:pStyle w:val="Normal"/>
      </w:pPr>
      <w:r>
        <w:rPr>
          <w:rFonts w:hAnsi="Times New Roman" w:cs="Times New Roman"/>
        </w:rPr>
        <w:t xml:space="preserve">- Zakon o poljoprivredi
</w:t>
      </w:r>
    </w:p>
    <w:p>
      <w:pPr>
        <w:jc w:val="both"/>
        <w:pStyle w:val="Normal"/>
      </w:pPr>
      <w:r>
        <w:rPr>
          <w:rFonts w:hAnsi="Times New Roman" w:cs="Times New Roman"/>
        </w:rPr>
        <w:t xml:space="preserve">- Zakon o potpori poljoprivredi i ruralnom razvoju</w:t>
      </w:r>
    </w:p>
    <w:p>
      <w:pPr>
        <w:jc w:val="left"/>
        <w:pStyle w:val="Heading8"/>
      </w:pPr>
      <w:r>
        <w:rPr>
          <w:rFonts w:hAnsi="Times New Roman" w:cs="Times New Roman"/>
        </w:rPr>
        <w:t xml:space="preserve">Opis aktivnosti</w:t>
      </w:r>
    </w:p>
    <w:p>
      <w:pPr>
        <w:jc w:val="both"/>
        <w:pStyle w:val="Normal"/>
      </w:pPr>
      <w:r>
        <w:rPr>
          <w:rFonts w:hAnsi="Times New Roman" w:cs="Times New Roman"/>
        </w:rPr>
        <w:t xml:space="preserve">Agencija za plaćanja u poljoprivredi, ribarstvu i ruralnom razvoju je javno tijelo nadležno za operativnu provedbu intervencija izravne potpore, mjera/intervencija ruralnog razvoja, mjera za pomorstvo i ribarstvo (u dijelu delegiranih funkcija), sektorskih intervencija, nacionalnih programa potpore i ostalih tržišnih potpora, za vođenje upisnika i registara te održavanje i korištenje Integriranog administrativnog i kontrolnog sustava (IAKS-a) preko kojeg se zaprimaju, obrađuju i kontroliraju izravna plaćanja poljoprivrednicima.
</w:t>
      </w:r>
    </w:p>
    <w:p>
      <w:pPr>
        <w:jc w:val="both"/>
        <w:pStyle w:val="Normal"/>
      </w:pPr>
      <w:r>
        <w:rPr>
          <w:rFonts w:hAnsi="Times New Roman" w:cs="Times New Roman"/>
        </w:rPr>
        <w:t xml:space="preserve">U novoj Zajedničkoj poljoprivrednoj politici EU-a, umjesto postojećih pravila i usklađenosti, naglasak je stavljen na rezultate i djelotvornost pojedinih mjera pri čemu države članice, pa tako i Republika Hrvatska, same odlučuju kako će najbolje ispuniti zajedničke ciljeve europske poljoprivredne politike istovremeno odgovarajući na specifične potrebe svojih poljoprivrednika.
</w:t>
      </w:r>
    </w:p>
    <w:p>
      <w:pPr>
        <w:jc w:val="both"/>
        <w:pStyle w:val="Normal"/>
      </w:pPr>
      <w:r>
        <w:rPr>
          <w:rFonts w:hAnsi="Times New Roman" w:cs="Times New Roman"/>
        </w:rPr>
        <w:t xml:space="preserve">Osnovne zadaće APPRRR-a u tom procesu i dalje ostaju odobravanje zahtjeva uključujući administrativnu kontrolu i kontrolu na terenu. Korisnici podnose zahtjev za potporu APPRRR-u, nakon čega se utvrđuje jesu li zadovoljeni svi propisani uvjeti. Cilj APPRRR-a je kvalitetno i u zadanim rokovima obaviti sve provjere prihvatljivosti zahtjeva korisnika kako bi se ispravno odobrili zahtjevi te izvršila plaćanja. 
</w:t>
      </w:r>
    </w:p>
    <w:p>
      <w:pPr>
        <w:jc w:val="both"/>
        <w:pStyle w:val="Normal"/>
      </w:pPr>
      <w:r>
        <w:rPr>
          <w:rFonts w:hAnsi="Times New Roman" w:cs="Times New Roman"/>
        </w:rPr>
        <w:t xml:space="preserve">APPRRR plaćanja je odgovorna za implementaciju i održavanje Integriranog Administrativnog i Kontrolnog Sustava (IAKS) koji se koristi za odobravanje svih plaćanja u sklopu intervencija proizvodno nevezanih izravnih plaćanja, proizvodno vezanih izravnih plaćanja i intervencija iz Mjera ruralnog razvoja propisanima u Pravilniku o provedbi izravne potpore poljoprivredi i IAKS mjera ruralnog razvoja za 2023. godinu, u nacrtu Pravilnika za 2024. godinu i Strateškom planu Zajedničke poljoprivredne politike Republike Hrvatske 2023. – 2027., kao i za mjera državne potpore za iznimno osjetljive sektore iz Programa državne potpore za iznimno osjetljive sektore u poljoprivredi. Sustav broji oko 68 različitih potpora, a odobrava se ukupno 550 milijuna eura za preko 110 tisuća poljoprivrednih gospodarstava.
</w:t>
      </w:r>
    </w:p>
    <w:p>
      <w:pPr>
        <w:jc w:val="both"/>
        <w:pStyle w:val="Normal"/>
      </w:pPr>
      <w:r>
        <w:rPr>
          <w:rFonts w:hAnsi="Times New Roman" w:cs="Times New Roman"/>
        </w:rPr>
        <w:t xml:space="preserve">Sukladno zakonskoj regulativi potrebno je kontinuirano obavještavati poljoprivrednika o kriterijima prihvatljivosti za propisane potpore. Glavni alat za interakciju Agencije i poljoprivrednika je AGRONET aplikacija koja omogućava poljoprivrednicima pregled informacija o njihovom gospodarstvu, podnošenje zahtjeva, pregled obavijesti i odluka, te komunikaciju prema Agenciji. Primarni cilj nadogradnje AGRONETA je razvoj funkcionalnosti za potrebe kampanja temeljem izmjena i dopuna pravne osnove te nadogradnja sustava za slanje obavijesti korisniku o rezultatima provedenog kontinuiranog nadzora poljoprivrednih površina, zajedno s podacima detektiranih nepravilnosti, te mogućnosti korekcije od strane korisnika u periodu za podnošenje zahtjeva (sustav ranih upozorenja).
</w:t>
      </w:r>
    </w:p>
    <w:p>
      <w:pPr>
        <w:jc w:val="both"/>
        <w:pStyle w:val="Normal"/>
      </w:pPr>
      <w:r>
        <w:rPr>
          <w:rFonts w:hAnsi="Times New Roman" w:cs="Times New Roman"/>
        </w:rPr>
        <w:t xml:space="preserve">Pravilnicima koji reguliraju upis u Upisnik poljoprivrednika, Upisnik OPG-a, Vinogradarski registar, Upisnik ekoloških subjekata i ostale upisnike propisana je obveza korisnika da u određenom roku prijavi sve promjene, a cilj Agencije za plaćanja u poljoprivredi, ribarstvu i ruralnom razvoju je pravovremeno i točno obraditi sve zahtjeve za upis u upisnike i registre te prijave promjena u istima kako bi registri odnosno upisnici sadržavali točne i ažurne podatke. 
</w:t>
      </w:r>
    </w:p>
    <w:p>
      <w:pPr>
        <w:jc w:val="both"/>
        <w:pStyle w:val="Normal"/>
      </w:pPr>
      <w:r>
        <w:rPr>
          <w:rFonts w:hAnsi="Times New Roman" w:cs="Times New Roman"/>
        </w:rPr>
        <w:t xml:space="preserve">Agencija za plaćanja u poljoprivredi, ribarstvu i ruralnom razvoju i Državna geodetska uprava potpisali su Sporazum o izradi digitalnih ortofoto karata u mjerilu 1:5000 (DOF5) u 2025. i 2026. godini. Od posebnog je značaja činjenica da Agencija za plaćanja time stiče pravo korištenja podataka iz nadležnosti DGU za poslovne potrebe održavanja i nadogradnje Integriranog Administrativnog i Kontrolnog Sustava (IAKS), kao i za uspostavu i održavanje Hrvatskog zemljišnog informacijskog sustava – (CROLIS) CROatian Land Information System, što Agenciji  omogućuje pravovremenu provedbu svih ključnih procedura i aktivnosti koje se uvijek oslanjaju na grafičke podatke iz ARKOD-a.</w:t>
      </w:r>
    </w:p>
    <w:p>
      <w:pPr>
        <w:jc w:val="left"/>
        <w:pStyle w:val="Heading8"/>
      </w:pPr>
      <w:r>
        <w:rPr>
          <w:rFonts w:hAnsi="Times New Roman" w:cs="Times New Roman"/>
        </w:rPr>
        <w:t xml:space="preserve">Pokazatelji rezultata</w:t>
      </w:r>
    </w:p>
    <w:tbl>
      <w:tblPr w:type="dxa">
        <w:tblStyle w:val="StilTablice"/>
        <w:tblW w:w="10206"/>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3096</w:gridCol>
        <w:gridCol>3096</w:gridCol>
        <w:gridCol>3096</w:gridCol>
        <w:gridCol>3096</w:gridCol>
        <w:gridCol>3096</w:gridCol>
        <w:gridCol>3096</w:gridCol>
        <w:gridCol>3096</w:gridCol>
      </w:tblGrid>
      <w:tr>
        <w:trPr>
          <w:cantSplit/>
        </w:trPr>
        <w:tc>
          <w:tcPr>
            <w:tcW w:w="2551.5" w:type="dxa"/>
            <w:vAlign w:val="center"/>
            <w:shd w:val="clear" w:color="auto" w:fill="b5c0d8"/>
          </w:tcPr>
          <w:p>
            <w:pPr>
              <w:jc w:val="center"/>
            </w:pPr>
            <w:r>
              <w:rPr>
                <w:rFonts w:hAnsi="Times New Roman" w:cs="Times New Roman"/>
              </w:rPr>
              <w:t xml:space="preserve">Pokazatelj rezultata</w:t>
            </w:r>
          </w:p>
        </w:tc>
        <w:tc>
          <w:tcPr>
            <w:tcW w:w="2551.5" w:type="dxa"/>
            <w:vAlign w:val="center"/>
            <w:shd w:val="clear" w:color="auto" w:fill="b5c0d8"/>
          </w:tcPr>
          <w:p>
            <w:pPr>
              <w:jc w:val="center"/>
              <w:pStyle w:val="CellHeader"/>
            </w:pPr>
            <w:r>
              <w:rPr>
                <w:rFonts w:hAnsi="Times New Roman" w:cs="Times New Roman"/>
              </w:rPr>
              <w:t xml:space="preserve">Definicija</w:t>
            </w:r>
          </w:p>
        </w:tc>
        <w:tc>
          <w:tcPr>
            <w:tcW w:w="1020.6" w:type="dxa"/>
            <w:vAlign w:val="center"/>
            <w:shd w:val="clear" w:color="auto" w:fill="b5c0d8"/>
          </w:tcPr>
          <w:p>
            <w:pPr>
              <w:jc w:val="center"/>
              <w:pStyle w:val="CellHeader"/>
            </w:pPr>
            <w:r>
              <w:rPr>
                <w:rFonts w:hAnsi="Times New Roman" w:cs="Times New Roman"/>
              </w:rPr>
              <w:t xml:space="preserve">Jedinica</w:t>
            </w:r>
          </w:p>
        </w:tc>
        <w:tc>
          <w:tcPr>
            <w:tcW w:w="1020.6" w:type="dxa"/>
            <w:vAlign w:val="center"/>
            <w:shd w:val="clear" w:color="auto" w:fill="b5c0d8"/>
          </w:tcPr>
          <w:p>
            <w:pPr>
              <w:jc w:val="center"/>
              <w:pStyle w:val="CellHeader"/>
            </w:pPr>
            <w:r>
              <w:rPr>
                <w:rFonts w:hAnsi="Times New Roman" w:cs="Times New Roman"/>
              </w:rPr>
              <w:t xml:space="preserve">Polazna vrijednost</w:t>
            </w:r>
          </w:p>
        </w:tc>
        <w:tc>
          <w:tcPr>
            <w:tcW w:w="1020.6" w:type="dxa"/>
            <w:vAlign w:val="center"/>
            <w:shd w:val="clear" w:color="auto" w:fill="b5c0d8"/>
          </w:tcPr>
          <w:p>
            <w:pPr>
              <w:jc w:val="center"/>
              <w:pStyle w:val="CellHeader"/>
            </w:pPr>
            <w:r>
              <w:rPr>
                <w:rFonts w:hAnsi="Times New Roman" w:cs="Times New Roman"/>
              </w:rPr>
              <w:t xml:space="preserve">Izvor podataka</w:t>
            </w:r>
          </w:p>
        </w:tc>
        <w:tc>
          <w:tcPr>
            <w:tcW w:w="1020.6" w:type="dxa"/>
            <w:vAlign w:val="center"/>
            <w:shd w:val="clear" w:color="auto" w:fill="b5c0d8"/>
          </w:tcPr>
          <w:p>
            <w:pPr>
              <w:jc w:val="center"/>
              <w:pStyle w:val="CellHeader"/>
            </w:pPr>
            <w:r>
              <w:rPr>
                <w:rFonts w:hAnsi="Times New Roman" w:cs="Times New Roman"/>
              </w:rPr>
              <w:t xml:space="preserve">Ciljana vrijednost (2025.)</w:t>
            </w:r>
          </w:p>
        </w:tc>
        <w:tc>
          <w:tcPr>
            <w:tcW w:w="1020.6" w:type="dxa"/>
            <w:vAlign w:val="center"/>
            <w:shd w:val="clear" w:color="auto" w:fill="b5c0d8"/>
          </w:tcPr>
          <w:p>
            <w:pPr>
              <w:jc w:val="center"/>
              <w:pStyle w:val="CellHeader"/>
            </w:pPr>
            <w:r>
              <w:rPr>
                <w:rFonts w:hAnsi="Times New Roman" w:cs="Times New Roman"/>
              </w:rPr>
              <w:t xml:space="preserve">Ostvarena vrijednost (2025.)</w:t>
            </w:r>
          </w:p>
        </w:tc>
      </w:tr>
      <w:tr>
        <w:trPr>
          <w:cantSplit/>
        </w:trPr>
        <w:tc>
          <w:tcPr>
            <w:tcW w:w="2551.5" w:type="dxa"/>
            <w:vAlign w:val="center"/>
          </w:tcPr>
          <w:p>
            <w:pPr>
              <w:jc w:val="left"/>
              <w:pStyle w:val="CellColumn"/>
            </w:pPr>
            <w:r>
              <w:rPr>
                <w:rFonts w:hAnsi="Times New Roman" w:cs="Times New Roman"/>
              </w:rPr>
              <w:t xml:space="preserve">Ažuriranje temeljem DOF-a</w:t>
            </w:r>
          </w:p>
        </w:tc>
        <w:tc>
          <w:tcPr>
            <w:tcW w:w="2551.5" w:type="dxa"/>
            <w:vAlign w:val="center"/>
          </w:tcPr>
          <w:p>
            <w:pPr>
              <w:jc w:val="left"/>
              <w:pStyle w:val="CellColumn"/>
            </w:pPr>
            <w:r>
              <w:rPr>
                <w:rFonts w:hAnsi="Times New Roman" w:cs="Times New Roman"/>
              </w:rPr>
              <w:t xml:space="preserve">Postotak teritorija RH pokriven ažurnim DOF podacima</w:t>
            </w:r>
          </w:p>
        </w:tc>
        <w:tc>
          <w:tcPr>
            <w:tcW w:w="1020.6" w:type="dxa"/>
            <w:vAlign w:val="center"/>
          </w:tcPr>
          <w:p>
            <w:pPr>
              <w:jc w:val="right"/>
              <w:pStyle w:val="CellColumn"/>
            </w:pPr>
            <w:r>
              <w:rPr>
                <w:rFonts w:hAnsi="Times New Roman" w:cs="Times New Roman"/>
              </w:rPr>
              <w:t xml:space="preserve">%</w:t>
            </w:r>
          </w:p>
        </w:tc>
        <w:tc>
          <w:tcPr>
            <w:tcW w:w="1020.6" w:type="dxa"/>
            <w:vAlign w:val="center"/>
          </w:tcPr>
          <w:p>
            <w:pPr>
              <w:jc w:val="right"/>
              <w:pStyle w:val="CellColumn"/>
            </w:pPr>
            <w:r>
              <w:rPr>
                <w:rFonts w:hAnsi="Times New Roman" w:cs="Times New Roman"/>
              </w:rPr>
              <w:t xml:space="preserve">50</w:t>
            </w:r>
          </w:p>
        </w:tc>
        <w:tc>
          <w:tcPr>
            <w:tcW w:w="1020.6" w:type="dxa"/>
            <w:vAlign w:val="center"/>
          </w:tcPr>
          <w:p>
            <w:pPr>
              <w:jc w:val="right"/>
              <w:pStyle w:val="CellColumn"/>
            </w:pPr>
            <w:r>
              <w:rPr>
                <w:rFonts w:hAnsi="Times New Roman" w:cs="Times New Roman"/>
              </w:rPr>
              <w:t xml:space="preserve">APPRRR</w:t>
            </w:r>
          </w:p>
        </w:tc>
        <w:tc>
          <w:tcPr>
            <w:tcW w:w="1020.6" w:type="dxa"/>
            <w:vAlign w:val="center"/>
          </w:tcPr>
          <w:p>
            <w:pPr>
              <w:jc w:val="right"/>
              <w:pStyle w:val="CellColumn"/>
            </w:pPr>
            <w:r>
              <w:rPr>
                <w:rFonts w:hAnsi="Times New Roman" w:cs="Times New Roman"/>
              </w:rPr>
              <w:t xml:space="preserve">50</w:t>
            </w:r>
          </w:p>
        </w:tc>
        <w:tc>
          <w:tcPr>
            <w:tcW w:w="1020.6" w:type="dxa"/>
            <w:vAlign w:val="center"/>
          </w:tcPr>
          <w:p>
            <w:pPr>
              <w:jc w:val="right"/>
              <w:pStyle w:val="CellColumn"/>
            </w:pPr>
            <w:r>
              <w:rPr>
                <w:rFonts w:hAnsi="Times New Roman" w:cs="Times New Roman"/>
              </w:rPr>
              <w:t xml:space="preserve">50</w:t>
            </w:r>
          </w:p>
        </w:tc>
      </w:tr>
      <w:tr>
        <w:trPr>
          <w:cantSplit/>
        </w:trPr>
        <w:tc>
          <w:tcPr>
            <w:tcW w:w="2551.5" w:type="dxa"/>
            <w:vAlign w:val="center"/>
          </w:tcPr>
          <w:p>
            <w:pPr>
              <w:jc w:val="left"/>
              <w:pStyle w:val="CellColumn"/>
            </w:pPr>
            <w:r>
              <w:rPr>
                <w:rFonts w:hAnsi="Times New Roman" w:cs="Times New Roman"/>
              </w:rPr>
              <w:t xml:space="preserve">Ažuriranje temeljem raezltata kontrole na terenu i inspekcijskih rješenje</w:t>
            </w:r>
          </w:p>
        </w:tc>
        <w:tc>
          <w:tcPr>
            <w:tcW w:w="2551.5" w:type="dxa"/>
            <w:vAlign w:val="center"/>
          </w:tcPr>
          <w:p>
            <w:pPr>
              <w:jc w:val="left"/>
              <w:pStyle w:val="CellColumn"/>
            </w:pPr>
            <w:r>
              <w:rPr>
                <w:rFonts w:hAnsi="Times New Roman" w:cs="Times New Roman"/>
              </w:rPr>
              <w:t xml:space="preserve">Evidentiranje postotak od ukupnog broja PG-a koji su bili predmet kontrola</w:t>
            </w:r>
          </w:p>
        </w:tc>
        <w:tc>
          <w:tcPr>
            <w:tcW w:w="1020.6" w:type="dxa"/>
            <w:vAlign w:val="center"/>
          </w:tcPr>
          <w:p>
            <w:pPr>
              <w:jc w:val="right"/>
              <w:pStyle w:val="CellColumn"/>
            </w:pPr>
            <w:r>
              <w:rPr>
                <w:rFonts w:hAnsi="Times New Roman" w:cs="Times New Roman"/>
              </w:rPr>
              <w:t xml:space="preserve">%</w:t>
            </w:r>
          </w:p>
        </w:tc>
        <w:tc>
          <w:tcPr>
            <w:tcW w:w="1020.6" w:type="dxa"/>
            <w:vAlign w:val="center"/>
          </w:tcPr>
          <w:p>
            <w:pPr>
              <w:jc w:val="right"/>
              <w:pStyle w:val="CellColumn"/>
            </w:pPr>
            <w:r>
              <w:rPr>
                <w:rFonts w:hAnsi="Times New Roman" w:cs="Times New Roman"/>
              </w:rPr>
              <w:t xml:space="preserve">100</w:t>
            </w:r>
          </w:p>
        </w:tc>
        <w:tc>
          <w:tcPr>
            <w:tcW w:w="1020.6" w:type="dxa"/>
            <w:vAlign w:val="center"/>
          </w:tcPr>
          <w:p>
            <w:pPr>
              <w:jc w:val="right"/>
              <w:pStyle w:val="CellColumn"/>
            </w:pPr>
            <w:r>
              <w:rPr>
                <w:rFonts w:hAnsi="Times New Roman" w:cs="Times New Roman"/>
              </w:rPr>
              <w:t xml:space="preserve">APPRRR</w:t>
            </w:r>
          </w:p>
        </w:tc>
        <w:tc>
          <w:tcPr>
            <w:tcW w:w="1020.6" w:type="dxa"/>
            <w:vAlign w:val="center"/>
          </w:tcPr>
          <w:p>
            <w:pPr>
              <w:jc w:val="right"/>
              <w:pStyle w:val="CellColumn"/>
            </w:pPr>
            <w:r>
              <w:rPr>
                <w:rFonts w:hAnsi="Times New Roman" w:cs="Times New Roman"/>
              </w:rPr>
              <w:t xml:space="preserve">100</w:t>
            </w:r>
          </w:p>
        </w:tc>
        <w:tc>
          <w:tcPr>
            <w:tcW w:w="1020.6" w:type="dxa"/>
            <w:vAlign w:val="center"/>
          </w:tcPr>
          <w:p>
            <w:pPr>
              <w:jc w:val="right"/>
              <w:pStyle w:val="CellColumn"/>
            </w:pPr>
            <w:r>
              <w:rPr>
                <w:rFonts w:hAnsi="Times New Roman" w:cs="Times New Roman"/>
              </w:rPr>
              <w:t xml:space="preserve">100</w:t>
            </w:r>
          </w:p>
        </w:tc>
      </w:tr>
      <w:tr>
        <w:trPr>
          <w:cantSplit/>
        </w:trPr>
        <w:tc>
          <w:tcPr>
            <w:tcW w:w="2551.5" w:type="dxa"/>
            <w:vAlign w:val="center"/>
          </w:tcPr>
          <w:p>
            <w:pPr>
              <w:jc w:val="left"/>
              <w:pStyle w:val="CellColumn"/>
            </w:pPr>
            <w:r>
              <w:rPr>
                <w:rFonts w:hAnsi="Times New Roman" w:cs="Times New Roman"/>
              </w:rPr>
              <w:t xml:space="preserve">Pravovremena obrada zahtjeva korisnika</w:t>
            </w:r>
          </w:p>
        </w:tc>
        <w:tc>
          <w:tcPr>
            <w:tcW w:w="2551.5" w:type="dxa"/>
            <w:vAlign w:val="center"/>
          </w:tcPr>
          <w:p>
            <w:pPr>
              <w:jc w:val="left"/>
              <w:pStyle w:val="CellColumn"/>
            </w:pPr>
            <w:r>
              <w:rPr>
                <w:rFonts w:hAnsi="Times New Roman" w:cs="Times New Roman"/>
              </w:rPr>
              <w:t xml:space="preserve">Korisnici podnose Zahtjeve u podružnicama Agencije i putem Agroneta u određenom vremenskom periodu. Pravovremenom obradom osigurava se isplata poticaja i potpora u rokovima</w:t>
            </w:r>
          </w:p>
        </w:tc>
        <w:tc>
          <w:tcPr>
            <w:tcW w:w="1020.6" w:type="dxa"/>
            <w:vAlign w:val="center"/>
          </w:tcPr>
          <w:p>
            <w:pPr>
              <w:jc w:val="right"/>
              <w:pStyle w:val="CellColumn"/>
            </w:pPr>
            <w:r>
              <w:rPr>
                <w:rFonts w:hAnsi="Times New Roman" w:cs="Times New Roman"/>
              </w:rPr>
              <w:t xml:space="preserve">broj</w:t>
            </w:r>
          </w:p>
        </w:tc>
        <w:tc>
          <w:tcPr>
            <w:tcW w:w="1020.6" w:type="dxa"/>
            <w:vAlign w:val="center"/>
          </w:tcPr>
          <w:p>
            <w:pPr>
              <w:jc w:val="right"/>
              <w:pStyle w:val="CellColumn"/>
            </w:pPr>
            <w:r>
              <w:rPr>
                <w:rFonts w:hAnsi="Times New Roman" w:cs="Times New Roman"/>
              </w:rPr>
              <w:t xml:space="preserve">70.000</w:t>
            </w:r>
          </w:p>
        </w:tc>
        <w:tc>
          <w:tcPr>
            <w:tcW w:w="1020.6" w:type="dxa"/>
            <w:vAlign w:val="center"/>
          </w:tcPr>
          <w:p>
            <w:pPr>
              <w:jc w:val="right"/>
              <w:pStyle w:val="CellColumn"/>
            </w:pPr>
            <w:r>
              <w:rPr>
                <w:rFonts w:hAnsi="Times New Roman" w:cs="Times New Roman"/>
              </w:rPr>
              <w:t xml:space="preserve">APPRRR</w:t>
            </w:r>
          </w:p>
        </w:tc>
        <w:tc>
          <w:tcPr>
            <w:tcW w:w="1020.6" w:type="dxa"/>
            <w:vAlign w:val="center"/>
          </w:tcPr>
          <w:p>
            <w:pPr>
              <w:jc w:val="right"/>
              <w:pStyle w:val="CellColumn"/>
            </w:pPr>
            <w:r>
              <w:rPr>
                <w:rFonts w:hAnsi="Times New Roman" w:cs="Times New Roman"/>
              </w:rPr>
              <w:t xml:space="preserve">80.000</w:t>
            </w:r>
          </w:p>
        </w:tc>
        <w:tc>
          <w:tcPr>
            <w:tcW w:w="1020.6" w:type="dxa"/>
            <w:vAlign w:val="center"/>
          </w:tcPr>
          <w:p>
            <w:pPr>
              <w:jc w:val="right"/>
              <w:pStyle w:val="CellColumn"/>
            </w:pPr>
            <w:r>
              <w:rPr>
                <w:rFonts w:hAnsi="Times New Roman" w:cs="Times New Roman"/>
              </w:rPr>
              <w:t xml:space="preserve">93.352</w:t>
            </w:r>
          </w:p>
        </w:tc>
      </w:tr>
    </w:tbl>
    <w:p>
      <w:pPr>
        <w:jc w:val="left"/>
      </w:pPr>
      <w:r>
        <w:rPr>
          <w:rFonts w:hAnsi="Times New Roman" w:cs="Times New Roman"/>
        </w:rPr>
        <w:t xml:space="preserve"/>
      </w:r>
    </w:p>
    <w:p>
      <w:pPr>
        <w:jc w:val="left"/>
        <w:pStyle w:val="Heading4"/>
      </w:pPr>
      <w:r>
        <w:rPr>
          <w:rFonts w:hAnsi="Times New Roman" w:cs="Times New Roman"/>
        </w:rPr>
        <w:t xml:space="preserve">K841002 INFORMATIZACIJA</w:t>
      </w:r>
    </w:p>
    <w:tbl>
      <w:tblPr w:type="dxa">
        <w:tblStyle w:val="StilTablice"/>
        <w:tblW w:w="10206"/>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3096</w:gridCol>
        <w:gridCol>3096</w:gridCol>
        <w:gridCol>3096</w:gridCol>
        <w:gridCol>3096</w:gridCol>
        <w:gridCol>3096</w:gridCol>
        <w:gridCol>3096</w:gridCol>
      </w:tblGrid>
      <w:tr>
        <w:trPr>
          <w:cantSplit/>
        </w:trPr>
        <w:tc>
          <w:tcPr>
            <w:tcW w:w="1632.96" w:type="dxa"/>
            <w:vAlign w:val="center"/>
            <w:shd w:val="clear" w:color="auto" w:fill="b5c0d8"/>
          </w:tcPr>
          <w:p>
            <w:pPr>
              <w:jc w:val="center"/>
              <w:pStyle w:val="CellHeader"/>
            </w:pPr>
            <w:r>
              <w:rPr>
                <w:rFonts w:hAnsi="Times New Roman" w:cs="Times New Roman"/>
              </w:rPr>
              <w:t xml:space="preserve">Naziv aktivnosti</w:t>
            </w:r>
          </w:p>
        </w:tc>
        <w:tc>
          <w:tcPr>
            <w:tcW w:w="2041.2" w:type="dxa"/>
            <w:vAlign w:val="center"/>
            <w:shd w:val="clear" w:color="auto" w:fill="b5c0d8"/>
          </w:tcPr>
          <w:p>
            <w:pPr>
              <w:jc w:val="center"/>
              <w:pStyle w:val="CellHeader"/>
            </w:pPr>
            <w:r>
              <w:rPr>
                <w:rFonts w:hAnsi="Times New Roman" w:cs="Times New Roman"/>
              </w:rPr>
              <w:t xml:space="preserve">Izvršenje 2024. (eur)</w:t>
            </w:r>
          </w:p>
        </w:tc>
        <w:tc>
          <w:tcPr>
            <w:tcW w:w="2041.2" w:type="dxa"/>
            <w:vAlign w:val="center"/>
            <w:shd w:val="clear" w:color="auto" w:fill="b5c0d8"/>
          </w:tcPr>
          <w:p>
            <w:pPr>
              <w:jc w:val="center"/>
              <w:pStyle w:val="CellHeader"/>
            </w:pPr>
            <w:r>
              <w:rPr>
                <w:rFonts w:hAnsi="Times New Roman" w:cs="Times New Roman"/>
              </w:rPr>
              <w:t xml:space="preserve">Plan 2025. (eur)</w:t>
            </w:r>
          </w:p>
        </w:tc>
        <w:tc>
          <w:tcPr>
            <w:tcW w:w="2041.2" w:type="dxa"/>
            <w:vAlign w:val="center"/>
            <w:shd w:val="clear" w:color="auto" w:fill="b5c0d8"/>
          </w:tcPr>
          <w:p>
            <w:pPr>
              <w:jc w:val="center"/>
              <w:pStyle w:val="CellHeader"/>
            </w:pPr>
            <w:r>
              <w:rPr>
                <w:rFonts w:hAnsi="Times New Roman" w:cs="Times New Roman"/>
              </w:rPr>
              <w:t xml:space="preserve">Izvršenje 2025. (eur)</w:t>
            </w:r>
          </w:p>
        </w:tc>
        <w:tc>
          <w:tcPr>
            <w:tcW w:w="1224.72" w:type="dxa"/>
            <w:vAlign w:val="center"/>
            <w:shd w:val="clear" w:color="auto" w:fill="b5c0d8"/>
          </w:tcPr>
          <w:p>
            <w:pPr>
              <w:jc w:val="center"/>
              <w:pStyle w:val="CellHeader"/>
            </w:pPr>
            <w:r>
              <w:rPr>
                <w:rFonts w:hAnsi="Times New Roman" w:cs="Times New Roman"/>
              </w:rPr>
              <w:t xml:space="preserve">Indeks izvršenje 2025./plan 2025.</w:t>
            </w:r>
          </w:p>
        </w:tc>
        <w:tc>
          <w:tcPr>
            <w:tcW w:w="1224.72" w:type="dxa"/>
            <w:vAlign w:val="center"/>
            <w:shd w:val="clear" w:color="auto" w:fill="b5c0d8"/>
          </w:tcPr>
          <w:p>
            <w:pPr>
              <w:jc w:val="center"/>
              <w:pStyle w:val="CellHeader"/>
            </w:pPr>
            <w:r>
              <w:rPr>
                <w:rFonts w:hAnsi="Times New Roman" w:cs="Times New Roman"/>
              </w:rPr>
              <w:t xml:space="preserve">Indeks izvršenje 2025./2024.</w:t>
            </w:r>
          </w:p>
        </w:tc>
      </w:tr>
      <w:tr>
        <w:trPr>
          <w:cantSplit/>
        </w:trPr>
        <w:tc>
          <w:tcPr>
            <w:tcW w:w="1632.96" w:type="dxa"/>
            <w:vAlign w:val="center"/>
          </w:tcPr>
          <w:p>
            <w:pPr>
              <w:jc w:val="left"/>
              <w:pStyle w:val="CellColumn"/>
            </w:pPr>
            <w:r>
              <w:rPr>
                <w:rFonts w:hAnsi="Times New Roman" w:cs="Times New Roman"/>
              </w:rPr>
              <w:t xml:space="preserve">K841002-INFORMATIZACIJA</w:t>
            </w:r>
          </w:p>
        </w:tc>
        <w:tc>
          <w:tcPr>
            <w:tcW w:w="2041.2" w:type="dxa"/>
            <w:vAlign w:val="center"/>
          </w:tcPr>
          <w:p>
            <w:pPr>
              <w:jc w:val="right"/>
              <w:pStyle w:val="CellColumn"/>
            </w:pPr>
            <w:r>
              <w:rPr>
                <w:rFonts w:hAnsi="Times New Roman" w:cs="Times New Roman"/>
              </w:rPr>
              <w:t xml:space="preserve">3.516.426</w:t>
            </w:r>
          </w:p>
        </w:tc>
        <w:tc>
          <w:tcPr>
            <w:tcW w:w="2041.2" w:type="dxa"/>
            <w:vAlign w:val="center"/>
          </w:tcPr>
          <w:p>
            <w:pPr>
              <w:jc w:val="right"/>
              <w:pStyle w:val="CellColumn"/>
            </w:pPr>
            <w:r>
              <w:rPr>
                <w:rFonts w:hAnsi="Times New Roman" w:cs="Times New Roman"/>
              </w:rPr>
              <w:t xml:space="preserve">7.590.388</w:t>
            </w:r>
          </w:p>
        </w:tc>
        <w:tc>
          <w:tcPr>
            <w:tcW w:w="2041.2" w:type="dxa"/>
            <w:vAlign w:val="center"/>
          </w:tcPr>
          <w:p>
            <w:pPr>
              <w:jc w:val="right"/>
              <w:pStyle w:val="CellColumn"/>
            </w:pPr>
            <w:r>
              <w:rPr>
                <w:rFonts w:hAnsi="Times New Roman" w:cs="Times New Roman"/>
              </w:rPr>
              <w:t xml:space="preserve">7.518.425</w:t>
            </w:r>
          </w:p>
        </w:tc>
        <w:tc>
          <w:tcPr>
            <w:tcW w:w="1224.72" w:type="dxa"/>
            <w:vAlign w:val="center"/>
          </w:tcPr>
          <w:p>
            <w:pPr>
              <w:jc w:val="right"/>
              <w:pStyle w:val="CellColumn"/>
            </w:pPr>
            <w:r>
              <w:rPr>
                <w:rFonts w:hAnsi="Times New Roman" w:cs="Times New Roman"/>
              </w:rPr>
              <w:t xml:space="preserve">99,1</w:t>
            </w:r>
          </w:p>
        </w:tc>
        <w:tc>
          <w:tcPr>
            <w:tcW w:w="1224.72" w:type="dxa"/>
            <w:vAlign w:val="center"/>
          </w:tcPr>
          <w:p>
            <w:pPr>
              <w:jc w:val="right"/>
              <w:pStyle w:val="CellColumn"/>
            </w:pPr>
            <w:r>
              <w:rPr>
                <w:rFonts w:hAnsi="Times New Roman" w:cs="Times New Roman"/>
              </w:rPr>
              <w:t xml:space="preserve">213,8</w:t>
            </w:r>
          </w:p>
        </w:tc>
      </w:tr>
    </w:tbl>
    <w:p>
      <w:pPr>
        <w:jc w:val="left"/>
      </w:pPr>
      <w:r>
        <w:rPr>
          <w:rFonts w:hAnsi="Times New Roman" w:cs="Times New Roman"/>
        </w:rPr>
        <w:t xml:space="preserve"/>
      </w:r>
    </w:p>
    <w:p>
      <w:pPr>
        <w:jc w:val="left"/>
        <w:pStyle w:val="Heading8"/>
      </w:pPr>
      <w:r>
        <w:rPr>
          <w:rFonts w:hAnsi="Times New Roman" w:cs="Times New Roman"/>
        </w:rPr>
        <w:t xml:space="preserve">Zakonske i druge pravne osnove</w:t>
      </w:r>
    </w:p>
    <w:p>
      <w:pPr>
        <w:jc w:val="both"/>
        <w:pStyle w:val="Normal"/>
      </w:pPr>
      <w:r>
        <w:rPr>
          <w:rFonts w:hAnsi="Times New Roman" w:cs="Times New Roman"/>
        </w:rPr>
        <w:t xml:space="preserve">- Strateški plan Zajedničke poljoprivredne politike RH 2023. - 2027.
</w:t>
      </w:r>
    </w:p>
    <w:p>
      <w:pPr>
        <w:jc w:val="both"/>
        <w:pStyle w:val="Normal"/>
      </w:pPr>
      <w:r>
        <w:rPr>
          <w:rFonts w:hAnsi="Times New Roman" w:cs="Times New Roman"/>
        </w:rPr>
        <w:t xml:space="preserve">- Pravilnik o provedbi izravne potpore poljoprivredi i IAKS mjera ruralnog razvoja 
</w:t>
      </w:r>
    </w:p>
    <w:p>
      <w:pPr>
        <w:jc w:val="both"/>
        <w:pStyle w:val="Normal"/>
      </w:pPr>
      <w:r>
        <w:rPr>
          <w:rFonts w:hAnsi="Times New Roman" w:cs="Times New Roman"/>
        </w:rPr>
        <w:t xml:space="preserve">Uredba o uredskom poslovanju
</w:t>
      </w:r>
    </w:p>
    <w:p>
      <w:pPr>
        <w:jc w:val="both"/>
        <w:pStyle w:val="Normal"/>
      </w:pPr>
      <w:r>
        <w:rPr>
          <w:rFonts w:hAnsi="Times New Roman" w:cs="Times New Roman"/>
        </w:rPr>
        <w:t xml:space="preserve">- Uredba (EU) br. 2021/2115 Europskog parlamenta i Vijeća od 2. prosinca 2021. o utvrđivanju pravila o potpori za 
</w:t>
      </w:r>
    </w:p>
    <w:p>
      <w:pPr>
        <w:jc w:val="both"/>
        <w:pStyle w:val="Normal"/>
      </w:pPr>
      <w:r>
        <w:rPr>
          <w:rFonts w:hAnsi="Times New Roman" w:cs="Times New Roman"/>
        </w:rPr>
        <w:t xml:space="preserve">  strateške planove koje izrađuju države članice u okviru zajedničke poljoprivredne politike (strateški planovi u okviru 
</w:t>
      </w:r>
    </w:p>
    <w:p>
      <w:pPr>
        <w:jc w:val="both"/>
        <w:pStyle w:val="Normal"/>
      </w:pPr>
      <w:r>
        <w:rPr>
          <w:rFonts w:hAnsi="Times New Roman" w:cs="Times New Roman"/>
        </w:rPr>
        <w:t xml:space="preserve">  ZPP-a) i koji se financiraju iz Europskog fonda za jamstva u poljoprivredi (EFJP) i Europskog poljoprivrednog fonda za 
</w:t>
      </w:r>
    </w:p>
    <w:p>
      <w:pPr>
        <w:jc w:val="both"/>
        <w:pStyle w:val="Normal"/>
      </w:pPr>
      <w:r>
        <w:rPr>
          <w:rFonts w:hAnsi="Times New Roman" w:cs="Times New Roman"/>
        </w:rPr>
        <w:t xml:space="preserve">  ruralni razvoj (EPFRR) te o stavljanju izvan snage uredbi (EU) br. 1305/2013 i (EU) br. 1307/2013
</w:t>
      </w:r>
    </w:p>
    <w:p>
      <w:pPr>
        <w:jc w:val="both"/>
        <w:pStyle w:val="Normal"/>
      </w:pPr>
      <w:r>
        <w:rPr>
          <w:rFonts w:hAnsi="Times New Roman" w:cs="Times New Roman"/>
        </w:rPr>
        <w:t xml:space="preserve">- Provedbena uredba Komisije (EU) 2022/1475 оd 6. rujna 2022. o utvrđivanju detaljnih pravila za provedbu Uredbe 
</w:t>
      </w:r>
    </w:p>
    <w:p>
      <w:pPr>
        <w:jc w:val="both"/>
        <w:pStyle w:val="Normal"/>
      </w:pPr>
      <w:r>
        <w:rPr>
          <w:rFonts w:hAnsi="Times New Roman" w:cs="Times New Roman"/>
        </w:rPr>
        <w:t xml:space="preserve">  (EU) 2021/2115 Europskog parlamenta i Vijeća u pogledu evaluacije strateških planova u okviru ZPP-a i pružanja 
</w:t>
      </w:r>
    </w:p>
    <w:p>
      <w:pPr>
        <w:jc w:val="both"/>
        <w:pStyle w:val="Normal"/>
      </w:pPr>
      <w:r>
        <w:rPr>
          <w:rFonts w:hAnsi="Times New Roman" w:cs="Times New Roman"/>
        </w:rPr>
        <w:t xml:space="preserve">  informacija za praćenje i evaluaciju
</w:t>
      </w:r>
    </w:p>
    <w:p>
      <w:pPr>
        <w:jc w:val="both"/>
        <w:pStyle w:val="Normal"/>
      </w:pPr>
      <w:r>
        <w:rPr>
          <w:rFonts w:hAnsi="Times New Roman" w:cs="Times New Roman"/>
        </w:rPr>
        <w:t xml:space="preserve">- Uredba (EU) br. 2021/2116 Europskog parlamenta i Vijeća od 2. prosinca 2021. o financiranju i nadzoru zajedničke 
</w:t>
      </w:r>
    </w:p>
    <w:p>
      <w:pPr>
        <w:jc w:val="both"/>
        <w:pStyle w:val="Normal"/>
      </w:pPr>
      <w:r>
        <w:rPr>
          <w:rFonts w:hAnsi="Times New Roman" w:cs="Times New Roman"/>
        </w:rPr>
        <w:t xml:space="preserve">  poljoprivredne politike te upravljanju njome i o stavljanju izvan snage Uredbe (EU) br. 1306/2013
</w:t>
      </w:r>
    </w:p>
    <w:p>
      <w:pPr>
        <w:jc w:val="both"/>
        <w:pStyle w:val="Normal"/>
      </w:pPr>
      <w:r>
        <w:rPr>
          <w:rFonts w:hAnsi="Times New Roman" w:cs="Times New Roman"/>
        </w:rPr>
        <w:t xml:space="preserve">- Delegirana uredba Komisije (EU) 2022/127 оd 7. prosinca 2021. o dopuni Uredbe (EU) 2021/2116 Europskog 
</w:t>
      </w:r>
    </w:p>
    <w:p>
      <w:pPr>
        <w:jc w:val="both"/>
        <w:pStyle w:val="Normal"/>
      </w:pPr>
      <w:r>
        <w:rPr>
          <w:rFonts w:hAnsi="Times New Roman" w:cs="Times New Roman"/>
        </w:rPr>
        <w:t xml:space="preserve">  parlamenta i Vijeća pravilima o agencijama za plaćanja i drugim tijelima, financijskom upravljanju, poravnanju računa, 
</w:t>
      </w:r>
    </w:p>
    <w:p>
      <w:pPr>
        <w:jc w:val="both"/>
        <w:pStyle w:val="Normal"/>
      </w:pPr>
      <w:r>
        <w:rPr>
          <w:rFonts w:hAnsi="Times New Roman" w:cs="Times New Roman"/>
        </w:rPr>
        <w:t xml:space="preserve">  sredstvima osiguranja i upotrebi eura
</w:t>
      </w:r>
    </w:p>
    <w:p>
      <w:pPr>
        <w:jc w:val="both"/>
        <w:pStyle w:val="Normal"/>
      </w:pPr>
      <w:r>
        <w:rPr>
          <w:rFonts w:hAnsi="Times New Roman" w:cs="Times New Roman"/>
        </w:rPr>
        <w:t xml:space="preserve">- Provedbena uredba Komisije (EU) 2022/128 оd 21. prosinca 2021. o utvrđivanju pravila za primjenu Uredbe (EU) 
</w:t>
      </w:r>
    </w:p>
    <w:p>
      <w:pPr>
        <w:jc w:val="both"/>
        <w:pStyle w:val="Normal"/>
      </w:pPr>
      <w:r>
        <w:rPr>
          <w:rFonts w:hAnsi="Times New Roman" w:cs="Times New Roman"/>
        </w:rPr>
        <w:t xml:space="preserve">  2021/2116 Europskog parlamenta i Vijeća u pogledu agencija za plaćanja i drugih tijela, financijskog upravljanja, 
</w:t>
      </w:r>
    </w:p>
    <w:p>
      <w:pPr>
        <w:jc w:val="both"/>
        <w:pStyle w:val="Normal"/>
      </w:pPr>
      <w:r>
        <w:rPr>
          <w:rFonts w:hAnsi="Times New Roman" w:cs="Times New Roman"/>
        </w:rPr>
        <w:t xml:space="preserve">  poravnanja računa, provjera, sredstava osiguranja i transparentnosti</w:t>
      </w:r>
    </w:p>
    <w:p>
      <w:pPr>
        <w:jc w:val="left"/>
        <w:pStyle w:val="Heading8"/>
      </w:pPr>
      <w:r>
        <w:rPr>
          <w:rFonts w:hAnsi="Times New Roman" w:cs="Times New Roman"/>
        </w:rPr>
        <w:t xml:space="preserve">Opis aktivnosti</w:t>
      </w:r>
    </w:p>
    <w:p>
      <w:pPr>
        <w:jc w:val="both"/>
        <w:pStyle w:val="Normal"/>
      </w:pPr>
      <w:r>
        <w:rPr>
          <w:rFonts w:hAnsi="Times New Roman" w:cs="Times New Roman"/>
        </w:rPr>
        <w:t xml:space="preserve">Poslovni procesi Agencije za plaćanja u poljoprivredi, ribarstvu i ruralnom razvoju su informatizirani i digitalizirani. Informacijski sustav APPRRR-a (ISA) predstavlja integrirani multifunkcionalni sustav za podršku cjelokupnom radu APPRRR-a te je kao takav, zajedno s odgovarajućom stručnom tehničkom podrškom nužan za nesmetano odvijanje svih poslovnih procesa. Nadogradnja i održavanje ISA sustava provodi se kroz godišnje odnosno višegodišnje projekte vođene po PMI metodologiji, pri čemu se posebna pažnja posvećuje razvoju softvera na način da se isti posebno nadzire i kontinuirano prilagođava stvarnim potrebama. 
</w:t>
      </w:r>
    </w:p>
    <w:p>
      <w:pPr>
        <w:jc w:val="both"/>
        <w:pStyle w:val="Normal"/>
      </w:pPr>
      <w:r>
        <w:rPr>
          <w:rFonts w:hAnsi="Times New Roman" w:cs="Times New Roman"/>
        </w:rPr>
        <w:t xml:space="preserve">Informacijski sustav osigurava izvršavanje složenih aktivnosti u procesu odobravanja potpora:  podnošenje Jedinstvenog zahtjeva, preuzimanje podataka s Jedinstvenog zahtjeva i obradu istih, preuzimanje rezultata kontrole na terenu, brze terenske kontrole i ažuriranja ARKOD sustava (nacionalni sustav identifikacije zemljišnih parcela), stvaranje sloja prostornih podataka (prostornog preklopa) s integriranim podacima Jedinstvenog zahtjeva, kontrole na terenu trenutnih i retroaktivnih podataka, stanje ARKOD parcela na zadnji dan podnošenja zahtjeva u kampanji, uključivanje baza Jedinstvenog registra domaćih životinja, vođenje podataka u registru prava na plaćanja, višestruke provjere svih kriterija prihvatljivosti za dodjelu potpora, pojedinačne izračune svih potpora i izračune administrativnih kazni kao i izračune plaćanja i odobravanje slogova za isplate. 
</w:t>
      </w:r>
    </w:p>
    <w:p>
      <w:pPr>
        <w:jc w:val="both"/>
        <w:pStyle w:val="Normal"/>
      </w:pPr>
      <w:r>
        <w:rPr>
          <w:rFonts w:hAnsi="Times New Roman" w:cs="Times New Roman"/>
        </w:rPr>
        <w:t xml:space="preserve">U 2025. godini nastavilo  se s nadogradnjom IAKS sustava u vidu implementacije novih intervencija proizvodno nevezanih i vezanih izravnih plaćanja te IAKS mjera ruralnog razvoja. Isto tako nadograđen je sustav za IAKS mjere ruralnog razvoja iz Programa ruralnog razvoja Republike Hrvatske za razdoblje 2014. – 2020. kojima višegodišnja obveza nije završena. Nadalje provedena je nadogradnja registra prava na plaćanja sukladno novom ZPP te poslovne procese zajedničkih kriterija uvjetovanosti za sve potpore izravnih plaćanja i IAKS mjere ruralnog razvoja. 
</w:t>
      </w:r>
    </w:p>
    <w:p>
      <w:pPr>
        <w:jc w:val="both"/>
        <w:pStyle w:val="Normal"/>
      </w:pPr>
      <w:r>
        <w:rPr>
          <w:rFonts w:hAnsi="Times New Roman" w:cs="Times New Roman"/>
        </w:rPr>
        <w:t xml:space="preserve">Sukladno zakonskoj regulativi Agencija je kontinuirano obavještavala poljoprivrednike o kriterijima prihvatljivosti za propisane potpore. Glavni alat za interakciju Agencije i poljoprivrednika je AGRONET aplikacija koja omogućava poljoprivrednicima pregled informacija o njihovom gospodarstvu, podnošenje zahtjeva, pregled obavijesti i odluka, te komunikaciju prema Agenciji. Primarni cilj nadogradnje AGRONETA  bio je razvoj funkcionalnosti za potrebe kampanje 2025. temeljem izmjena i dopuna pravne osnove te nadogradnja sustava za slanje obavijesti korisniku o rezultatima provedenog kontinuiranog nadzora poljoprivrednih površina, zajedno s podacima detektiranih nepravilnosti, te mogućnosti korekcije od strane korisnika u periodu za podnošenje zahtjeva (sustav ranih upozorenja).
</w:t>
      </w:r>
    </w:p>
    <w:p>
      <w:pPr>
        <w:jc w:val="both"/>
        <w:pStyle w:val="Normal"/>
      </w:pPr>
      <w:r>
        <w:rPr>
          <w:rFonts w:hAnsi="Times New Roman" w:cs="Times New Roman"/>
        </w:rPr>
        <w:t xml:space="preserve">Temeljem sporazuma za 2025. i 2026.godinu nastavila se se implementacija vrlo zahtjevnog Monitoring sustava kako bi se omogućila preciznija detekcija promjena na poljoprivrednom zemljištu (ARKOD) kao i na poljoprivrednim parcelama (Jedinstveni zahtjev), a sve u cilju boljeg nadzora poljoprivrednih površina za potrebe odobravanja potpora u sklopu izravnih plaćanja i IAKS mjera ruralnog razvoja. Ove nadogradnje uključuju razvoj sustava za detekciju promjena na zemljištu, nadogradnju markera i semafora s dodatnim kriterijima koristeći postojeće Sentinel 2 podatke, te konačno vizualizaciju svih prostornih podataka na GeoPortalu. Cilj nadogradnji sustava za monitoring je potpuno uvođenje nadzora svih poljoprivrednih površina za potrebe novog programskog razdoblja. U Sklopu procesa Monitoringa je razvijen sustav za evidentiranje, obradu i arhiviranje geotagiranih fotografija (GTF), zajedno s mobilnom aplikacijom AgroGTF za dostavu istih.  Preko aplikacije Ekspertna procjena implementirana je mogućnost korištenja rezultata nadzora poljoprivrednih površina za preventivne izmjene zahtjeva kroz AGRONET sustav. Dobiveni rezultati se trebaju implementirati u novi sustav odobravanja za sve višestruke provjere na području cijele Republike Hrvatske.  Isto tako u aplikacije Ekspertne procjene potrebno je implementirati sve mjere novih intervencija te raditi na daljnjoj nadogradnji i usavršavanju aplikacije. 
</w:t>
      </w:r>
    </w:p>
    <w:p>
      <w:pPr>
        <w:jc w:val="both"/>
        <w:pStyle w:val="Normal"/>
      </w:pPr>
      <w:r>
        <w:rPr>
          <w:rFonts w:hAnsi="Times New Roman" w:cs="Times New Roman"/>
        </w:rPr>
        <w:t xml:space="preserve">Za IAKS mjere ruralnog razvoja razvijen je sustav praćenja višegodišnjih obveza prostorno i alfanumerički kroz registar višegodišnjih obveza i izračun kršenja višegodišnjih obveza. U 2025.g. provedeno je paralelno administriranja IAKS mjera ruralnog razvoja iz Programa ruralnog razvoja Republike Hrvatske za razdoblje 2014. – 2020. kojima višegodišnja obveza je morala biti izvršena do 31.12.2025.g. i IAKS intervencija ruralnog razvoja iz Strateškog plana Zajedničke poljoprivredne politike Republike Hrvatske 2023. - 2027.
</w:t>
      </w:r>
    </w:p>
    <w:p>
      <w:pPr>
        <w:jc w:val="both"/>
        <w:pStyle w:val="Normal"/>
      </w:pPr>
      <w:r>
        <w:rPr>
          <w:rFonts w:hAnsi="Times New Roman" w:cs="Times New Roman"/>
        </w:rPr>
        <w:t xml:space="preserve">Temelj za pripremu, zaprimanje i odobravanje svih zahtjeva za izravna plaćanja i IAKS mjera ruralnog razvoja je održavanje i nadogradnja aplikativnih modula Registara. Cilj nadogradnje podsustava za registre je razvoj i nadogradnja postojećeg Upisnika poljoprivrednika i Upisnika obiteljskih poljoprivrednih gospodarstava sukladno izmjenama pravnih osnova. Potrebna je nadogradnja povezanih registara (vinogradarski registar, EKO/EKOP registar), kao i bolja poveznica na Jedinstveni registar domaćih životinja te razvoj potrebnih funkcionalnosti za održavanje ARKOD-a. U sklopu nadogradnji ARKOD sustava nastavilo se s razvoj em novog sustava za import novih ortofoto snimaka, te provedbu ARKOD ažuriranja primjenom novog DOF-a, verifikaciju poljoprivrednih parcela na područjima novog DOF-a, te se nadogradio sustav za provedbu BTP kontrola (brzih terenskih kontrola), te detekciju i administraciju neprihvatljivih površina.
</w:t>
      </w:r>
    </w:p>
    <w:p>
      <w:pPr>
        <w:jc w:val="both"/>
        <w:pStyle w:val="Normal"/>
      </w:pPr>
      <w:r>
        <w:rPr>
          <w:rFonts w:hAnsi="Times New Roman" w:cs="Times New Roman"/>
        </w:rPr>
        <w:t xml:space="preserve">ISRiF predstavlja računovodstveno-financijski sustav pomoću kojeg se vrše isplate korisnicima svih mjera koje provodi Agencija za plaćanja u poljoprivredi, ribarstvu i ruralnom razvoju te pomoću kojeg se provodi računovodstveno evidentiranje poslovnih događaja i priprema propisanih financijskih izvještaja. Konstantno održavanje i nadogradnja ovog sustava je nužno kako bi podaci u sustavu bili točni, kako bi se isplate mogle izvršavati točno i pravovremeno te kako bi korisnici imali sve informacije o svojim potraživanjima i eventualnim dugovanjima, a sve to uz poštivanje nacionalnog i EU zakonodavstva i njegovih izmjena na koje sustav mora biti spreman pravovremeno odgovoriti. Osim što ISRiF mora biti spreman na eventualne izmjene u nacionalnom i EU zakonodavstvu, također mora pratiti i eventualne nalaze nacionalnih revizija kao i revizija tijela EK. Podaci koji su potrebni za izvršenje plaćanja ili naplate dugova se zaprimaju kroz modul odobravanja plaćanja te se povlače u modul Financije kroz koji se vrše plaćanja, u Knjigu dužnika radi evidencije i poduzimanja mjera za povrat duga, u modul SAP Računovodstvo radi evidentiranja poslovnih događaja i u modul Poslovno upravljanje koji je osnova za izvještavanje prema Europskoj komisiji (EK). 
</w:t>
      </w:r>
    </w:p>
    <w:p>
      <w:pPr>
        <w:jc w:val="both"/>
        <w:pStyle w:val="Normal"/>
      </w:pPr>
      <w:r>
        <w:rPr>
          <w:rFonts w:hAnsi="Times New Roman" w:cs="Times New Roman"/>
        </w:rPr>
        <w:t xml:space="preserve">Osim ISRiF-a, predmet nabave je i poslovno-izvještajni sustav (BIS) koji omogućava pojednostavljeni prikaz podataka iz drugih modula i izvora podataka vezanih za podatke o korisnicima, njihovim natječajima, poljoprivrednim površinama, isplatama i sl. BIS se koristi pri izradi izvještaja prema EK, Ministarstvu poljoprivrede i drugim tijelima javne uprave. Dodatno, uvođenjem poslovno-izvještajnog sustava znatno se olakšao rad djelatnika Agencije prilikom povlačenja podatka kod upita zainteresiranih strana.
</w:t>
      </w:r>
    </w:p>
    <w:p>
      <w:pPr>
        <w:jc w:val="both"/>
        <w:pStyle w:val="Normal"/>
      </w:pPr>
      <w:r>
        <w:rPr>
          <w:rFonts w:hAnsi="Times New Roman" w:cs="Times New Roman"/>
        </w:rPr>
        <w:t xml:space="preserve">Također je potrebno provesti nadogradnju sustava sukladno nalazima različitih revizija, kao što je implementacija izvještaja po dospijeću  temeljem nalaza revizije Državnog ureda za reviziju, zatim kreiranje izvještaja o dugovima koje propisuje Europska komisija jer je dosadašnji način pripreme izvještaja koji je samo jednim dijelom implementiran u sustav podložan greškama zbog ručne obrade podataka i sama izrada traje relativno dugo – nalaz Agencije za reviziju sustava provedbe programa Europske unije. 
</w:t>
      </w:r>
    </w:p>
    <w:p>
      <w:pPr>
        <w:jc w:val="both"/>
        <w:pStyle w:val="Normal"/>
      </w:pPr>
      <w:r>
        <w:rPr>
          <w:rFonts w:hAnsi="Times New Roman" w:cs="Times New Roman"/>
        </w:rPr>
        <w:t xml:space="preserve">Važna nadogradnja koja je započela s realizacijom u 2025.g. jest uspostava informacijskog sustava za provedbu mjera zajedničke organizacije tržišta.  Korisnici su do sada imali mogućnost prijave na mjeru na AGRONET-u samo u dijelu Nacionalnih potpora, no zahtjev moraju isprintati i potpisati te poslati, uz prateću dokumentaciju, poštom. Obzirom da se radi o velikom broju prijava (godišnje oko 40000-70000), zaprimanje Zahtjeva putem pošte iziskuje velike napore s urudžbiranjem, smještanjem dokumentacije, obradom, praćenjem i arhiviranjem uz rizik gubitka pošte, posebno u dijelu dopuna dokumentacije. Uspostavom informacijskog sustava za provedbu mjera zajedničke organizacije tržišta omogućilo bi se podnošenje zahtjeva i prijava za sve tržišne potpore te objava akata putem mrežne aplikacije, izvršila nadogradnja i razvoj odnosno integracija postojećeg ISUT sustava (Integrirani sustav upravljanja tržištem)  te omogućila obrada zahtjeva, isplata i izvještavanje u sustavu. 
</w:t>
      </w:r>
    </w:p>
    <w:p>
      <w:pPr>
        <w:jc w:val="both"/>
        <w:pStyle w:val="Normal"/>
      </w:pPr>
      <w:r>
        <w:rPr>
          <w:rFonts w:hAnsi="Times New Roman" w:cs="Times New Roman"/>
        </w:rPr>
        <w:t xml:space="preserve">Osima nadogradne i održavanja sustava,izvršena su ulaganja u infrastrukturu. Zbog nekoliko žalbi u postupku javne nabave veći di nabava u ovom području nije realiziran u 2025.g.
</w:t>
      </w:r>
    </w:p>
    <w:p>
      <w:pPr>
        <w:jc w:val="both"/>
        <w:pStyle w:val="Normal"/>
      </w:pPr>
      <w:r>
        <w:rPr>
          <w:rFonts w:hAnsi="Times New Roman" w:cs="Times New Roman"/>
        </w:rPr>
        <w:t xml:space="preserve">Sa 30.06.2025.g. završeno je korištenje TP PRR, odnosno koristenje TP SPP započelo je od početka srpnja 2025.g. Proračun SP ZPP je vrlo ograničen stoga je dio troškova koji se niz godina financirao iz TP plaćen iz Općih prihoda i primitaka, odnosno izvora 11.</w:t>
      </w:r>
    </w:p>
    <w:p>
      <w:pPr>
        <w:jc w:val="left"/>
        <w:pStyle w:val="Heading4"/>
      </w:pPr>
      <w:r>
        <w:rPr>
          <w:rFonts w:hAnsi="Times New Roman" w:cs="Times New Roman"/>
        </w:rPr>
        <w:t xml:space="preserve">T841008 HRVATSKI ZEMLJIŠNI INFORMACIJSKI SUSTAV - CROLIS</w:t>
      </w:r>
    </w:p>
    <w:tbl>
      <w:tblPr w:type="dxa">
        <w:tblStyle w:val="StilTablice"/>
        <w:tblW w:w="10206"/>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3096</w:gridCol>
        <w:gridCol>3096</w:gridCol>
        <w:gridCol>3096</w:gridCol>
        <w:gridCol>3096</w:gridCol>
        <w:gridCol>3096</w:gridCol>
        <w:gridCol>3096</w:gridCol>
      </w:tblGrid>
      <w:tr>
        <w:trPr>
          <w:cantSplit/>
        </w:trPr>
        <w:tc>
          <w:tcPr>
            <w:tcW w:w="1632.96" w:type="dxa"/>
            <w:vAlign w:val="center"/>
            <w:shd w:val="clear" w:color="auto" w:fill="b5c0d8"/>
          </w:tcPr>
          <w:p>
            <w:pPr>
              <w:jc w:val="center"/>
              <w:pStyle w:val="CellHeader"/>
            </w:pPr>
            <w:r>
              <w:rPr>
                <w:rFonts w:hAnsi="Times New Roman" w:cs="Times New Roman"/>
              </w:rPr>
              <w:t xml:space="preserve">Naziv aktivnosti</w:t>
            </w:r>
          </w:p>
        </w:tc>
        <w:tc>
          <w:tcPr>
            <w:tcW w:w="2041.2" w:type="dxa"/>
            <w:vAlign w:val="center"/>
            <w:shd w:val="clear" w:color="auto" w:fill="b5c0d8"/>
          </w:tcPr>
          <w:p>
            <w:pPr>
              <w:jc w:val="center"/>
              <w:pStyle w:val="CellHeader"/>
            </w:pPr>
            <w:r>
              <w:rPr>
                <w:rFonts w:hAnsi="Times New Roman" w:cs="Times New Roman"/>
              </w:rPr>
              <w:t xml:space="preserve">Izvršenje 2024. (eur)</w:t>
            </w:r>
          </w:p>
        </w:tc>
        <w:tc>
          <w:tcPr>
            <w:tcW w:w="2041.2" w:type="dxa"/>
            <w:vAlign w:val="center"/>
            <w:shd w:val="clear" w:color="auto" w:fill="b5c0d8"/>
          </w:tcPr>
          <w:p>
            <w:pPr>
              <w:jc w:val="center"/>
              <w:pStyle w:val="CellHeader"/>
            </w:pPr>
            <w:r>
              <w:rPr>
                <w:rFonts w:hAnsi="Times New Roman" w:cs="Times New Roman"/>
              </w:rPr>
              <w:t xml:space="preserve">Plan 2025. (eur)</w:t>
            </w:r>
          </w:p>
        </w:tc>
        <w:tc>
          <w:tcPr>
            <w:tcW w:w="2041.2" w:type="dxa"/>
            <w:vAlign w:val="center"/>
            <w:shd w:val="clear" w:color="auto" w:fill="b5c0d8"/>
          </w:tcPr>
          <w:p>
            <w:pPr>
              <w:jc w:val="center"/>
              <w:pStyle w:val="CellHeader"/>
            </w:pPr>
            <w:r>
              <w:rPr>
                <w:rFonts w:hAnsi="Times New Roman" w:cs="Times New Roman"/>
              </w:rPr>
              <w:t xml:space="preserve">Izvršenje 2025. (eur)</w:t>
            </w:r>
          </w:p>
        </w:tc>
        <w:tc>
          <w:tcPr>
            <w:tcW w:w="1224.72" w:type="dxa"/>
            <w:vAlign w:val="center"/>
            <w:shd w:val="clear" w:color="auto" w:fill="b5c0d8"/>
          </w:tcPr>
          <w:p>
            <w:pPr>
              <w:jc w:val="center"/>
              <w:pStyle w:val="CellHeader"/>
            </w:pPr>
            <w:r>
              <w:rPr>
                <w:rFonts w:hAnsi="Times New Roman" w:cs="Times New Roman"/>
              </w:rPr>
              <w:t xml:space="preserve">Indeks izvršenje 2025./plan 2025.</w:t>
            </w:r>
          </w:p>
        </w:tc>
        <w:tc>
          <w:tcPr>
            <w:tcW w:w="1224.72" w:type="dxa"/>
            <w:vAlign w:val="center"/>
            <w:shd w:val="clear" w:color="auto" w:fill="b5c0d8"/>
          </w:tcPr>
          <w:p>
            <w:pPr>
              <w:jc w:val="center"/>
              <w:pStyle w:val="CellHeader"/>
            </w:pPr>
            <w:r>
              <w:rPr>
                <w:rFonts w:hAnsi="Times New Roman" w:cs="Times New Roman"/>
              </w:rPr>
              <w:t xml:space="preserve">Indeks izvršenje 2025./2024.</w:t>
            </w:r>
          </w:p>
        </w:tc>
      </w:tr>
      <w:tr>
        <w:trPr>
          <w:cantSplit/>
        </w:trPr>
        <w:tc>
          <w:tcPr>
            <w:tcW w:w="1632.96" w:type="dxa"/>
            <w:vAlign w:val="center"/>
          </w:tcPr>
          <w:p>
            <w:pPr>
              <w:jc w:val="left"/>
              <w:pStyle w:val="CellColumn"/>
            </w:pPr>
            <w:r>
              <w:rPr>
                <w:rFonts w:hAnsi="Times New Roman" w:cs="Times New Roman"/>
              </w:rPr>
              <w:t xml:space="preserve">T841008-HRVATSKI ZEMLJIŠNI INFORMACIJSKI SUSTAV - CROLIS</w:t>
            </w:r>
          </w:p>
        </w:tc>
        <w:tc>
          <w:tcPr>
            <w:tcW w:w="2041.2" w:type="dxa"/>
            <w:vAlign w:val="center"/>
          </w:tcPr>
          <w:p>
            <w:pPr>
              <w:jc w:val="right"/>
              <w:pStyle w:val="CellColumn"/>
            </w:pPr>
            <w:r>
              <w:rPr>
                <w:rFonts w:hAnsi="Times New Roman" w:cs="Times New Roman"/>
              </w:rPr>
              <w:t xml:space="preserve">110.471</w:t>
            </w:r>
          </w:p>
        </w:tc>
        <w:tc>
          <w:tcPr>
            <w:tcW w:w="2041.2" w:type="dxa"/>
            <w:vAlign w:val="center"/>
          </w:tcPr>
          <w:p>
            <w:pPr>
              <w:jc w:val="right"/>
              <w:pStyle w:val="CellColumn"/>
            </w:pPr>
            <w:r>
              <w:rPr>
                <w:rFonts w:hAnsi="Times New Roman" w:cs="Times New Roman"/>
              </w:rPr>
              <w:t xml:space="preserve">229.300</w:t>
            </w:r>
          </w:p>
        </w:tc>
        <w:tc>
          <w:tcPr>
            <w:tcW w:w="2041.2" w:type="dxa"/>
            <w:vAlign w:val="center"/>
          </w:tcPr>
          <w:p>
            <w:pPr>
              <w:jc w:val="right"/>
              <w:pStyle w:val="CellColumn"/>
            </w:pPr>
            <w:r>
              <w:rPr>
                <w:rFonts w:hAnsi="Times New Roman" w:cs="Times New Roman"/>
              </w:rPr>
              <w:t xml:space="preserve">154.940</w:t>
            </w:r>
          </w:p>
        </w:tc>
        <w:tc>
          <w:tcPr>
            <w:tcW w:w="1224.72" w:type="dxa"/>
            <w:vAlign w:val="center"/>
          </w:tcPr>
          <w:p>
            <w:pPr>
              <w:jc w:val="right"/>
              <w:pStyle w:val="CellColumn"/>
            </w:pPr>
            <w:r>
              <w:rPr>
                <w:rFonts w:hAnsi="Times New Roman" w:cs="Times New Roman"/>
              </w:rPr>
              <w:t xml:space="preserve">67,6</w:t>
            </w:r>
          </w:p>
        </w:tc>
        <w:tc>
          <w:tcPr>
            <w:tcW w:w="1224.72" w:type="dxa"/>
            <w:vAlign w:val="center"/>
          </w:tcPr>
          <w:p>
            <w:pPr>
              <w:jc w:val="right"/>
              <w:pStyle w:val="CellColumn"/>
            </w:pPr>
            <w:r>
              <w:rPr>
                <w:rFonts w:hAnsi="Times New Roman" w:cs="Times New Roman"/>
              </w:rPr>
              <w:t xml:space="preserve">140,3</w:t>
            </w:r>
          </w:p>
        </w:tc>
      </w:tr>
    </w:tbl>
    <w:p>
      <w:pPr>
        <w:jc w:val="left"/>
      </w:pPr>
      <w:r>
        <w:rPr>
          <w:rFonts w:hAnsi="Times New Roman" w:cs="Times New Roman"/>
        </w:rPr>
        <w:t xml:space="preserve"/>
      </w:r>
    </w:p>
    <w:p>
      <w:pPr>
        <w:jc w:val="left"/>
        <w:pStyle w:val="Heading8"/>
      </w:pPr>
      <w:r>
        <w:rPr>
          <w:rFonts w:hAnsi="Times New Roman" w:cs="Times New Roman"/>
        </w:rPr>
        <w:t xml:space="preserve">Zakonske i druge pravne osnove</w:t>
      </w:r>
    </w:p>
    <w:p>
      <w:pPr>
        <w:jc w:val="both"/>
        <w:pStyle w:val="Normal"/>
      </w:pPr>
      <w:r>
        <w:rPr>
          <w:rFonts w:hAnsi="Times New Roman" w:cs="Times New Roman"/>
        </w:rPr>
        <w:t xml:space="preserve">- Partnerski sporazum između Ministarstva gospodarstva i održivog razvoja i Agencije za plaćanja u
</w:t>
      </w:r>
    </w:p>
    <w:p>
      <w:pPr>
        <w:jc w:val="both"/>
        <w:pStyle w:val="Normal"/>
      </w:pPr>
      <w:r>
        <w:rPr>
          <w:rFonts w:hAnsi="Times New Roman" w:cs="Times New Roman"/>
        </w:rPr>
        <w:t xml:space="preserve">  poljoprivredi, ribarstvu i ruralnom razvoju
</w:t>
      </w:r>
    </w:p>
    <w:p>
      <w:pPr>
        <w:jc w:val="both"/>
        <w:pStyle w:val="Normal"/>
      </w:pPr>
      <w:r>
        <w:rPr>
          <w:rFonts w:hAnsi="Times New Roman" w:cs="Times New Roman"/>
        </w:rPr>
        <w:t xml:space="preserve">- Pravilnik o unutarnjem ustrojstvu i sistematizaciji radnih mjesta
</w:t>
      </w:r>
    </w:p>
    <w:p>
      <w:pPr>
        <w:jc w:val="both"/>
        <w:pStyle w:val="Normal"/>
      </w:pPr>
      <w:r>
        <w:rPr>
          <w:rFonts w:hAnsi="Times New Roman" w:cs="Times New Roman"/>
        </w:rPr>
        <w:t xml:space="preserve">- LULUCF uredba i Pariški sporazum (EU zakonodovastvo)</w:t>
      </w:r>
    </w:p>
    <w:p>
      <w:pPr>
        <w:jc w:val="left"/>
        <w:pStyle w:val="Heading8"/>
      </w:pPr>
      <w:r>
        <w:rPr>
          <w:rFonts w:hAnsi="Times New Roman" w:cs="Times New Roman"/>
        </w:rPr>
        <w:t xml:space="preserve">Opis aktivnosti</w:t>
      </w:r>
    </w:p>
    <w:p>
      <w:pPr>
        <w:jc w:val="both"/>
        <w:pStyle w:val="Normal"/>
      </w:pPr>
      <w:r>
        <w:rPr>
          <w:rFonts w:hAnsi="Times New Roman" w:cs="Times New Roman"/>
        </w:rPr>
        <w:t xml:space="preserve">I u 2025. godini APPRRR, zajedno s partnerskim institucijama, nastavila je s uspostavom i razvojem Hrvatskog informacijskog zemljišnog sustava (CROLIS) kao višenamjenskog sustava za praćenje uporabe zemljišta u RH te u svrhu praćenja i izvještavanja o bilancama stakleničkih plinova za potrebe ublažavanja klimatskih promjena u LULUCF sektoru (Land Use Land Change and Forestry). Nakon uspostave CROLIS-a po prvi put će biti dostupni vektorski podaci o poljoprivrednim površinama za cijelu državu za 2020. kao početnu (nultu) ili referentnu godinu. 
</w:t>
      </w:r>
    </w:p>
    <w:p>
      <w:pPr>
        <w:jc w:val="both"/>
        <w:pStyle w:val="Normal"/>
      </w:pPr>
      <w:r>
        <w:rPr>
          <w:rFonts w:hAnsi="Times New Roman" w:cs="Times New Roman"/>
        </w:rPr>
        <w:t xml:space="preserve">
</w:t>
      </w:r>
    </w:p>
    <w:p>
      <w:pPr>
        <w:jc w:val="both"/>
        <w:pStyle w:val="Normal"/>
      </w:pPr>
      <w:r>
        <w:rPr>
          <w:rFonts w:hAnsi="Times New Roman" w:cs="Times New Roman"/>
        </w:rPr>
        <w:t xml:space="preserve">Planirana provedba projekta bila je do 30.04.2024.g., ali je  odobreno produljenja roka završetka  do prosinca 2026. godine. Tiijekom 2025. godine fokus aktivnosti treba je biti na razvoju, uspostavi i testiranju CROLIS programskog rješenja, kao i pripremi i verifikaciji ulaznih vektorskih podataka te pripremi trening podataka za provedbu automatske klasifikacije ARKOD+ (plus) i CROLIS LU podataka. Planirana je i paralelna provedba aktivnosti vezano uz ručnu vektorizaciju ARKOD+ (plus) sloja te evidencije zapuštenog poljoprivrednog zemljišta.
</w:t>
      </w:r>
    </w:p>
    <w:p>
      <w:pPr>
        <w:jc w:val="both"/>
        <w:pStyle w:val="Normal"/>
      </w:pPr>
      <w:r>
        <w:rPr>
          <w:rFonts w:hAnsi="Times New Roman" w:cs="Times New Roman"/>
        </w:rPr>
        <w:t xml:space="preserve">Zbog činjenice da se u sustav ARKOD (LPIS) unose samo poljoprivredne površine čiji vlasnici podnose zahtjev za
</w:t>
      </w:r>
    </w:p>
    <w:p>
      <w:pPr>
        <w:jc w:val="both"/>
        <w:pStyle w:val="Normal"/>
      </w:pPr>
      <w:r>
        <w:rPr>
          <w:rFonts w:hAnsi="Times New Roman" w:cs="Times New Roman"/>
        </w:rPr>
        <w:t xml:space="preserve">isplatom poticaja, za sada je u ARKOD-u registrirano manje od 50 % ukupnih poljoprivrednih površina u Republici
</w:t>
      </w:r>
    </w:p>
    <w:p>
      <w:pPr>
        <w:jc w:val="both"/>
        <w:pStyle w:val="Normal"/>
      </w:pPr>
      <w:r>
        <w:rPr>
          <w:rFonts w:hAnsi="Times New Roman" w:cs="Times New Roman"/>
        </w:rPr>
        <w:t xml:space="preserve">Hrvatskoj. Nakon uspostave CROLIS-a, sve poljoprivredne površine biti će utvrđene i službeno registrirane, što će
</w:t>
      </w:r>
    </w:p>
    <w:p>
      <w:pPr>
        <w:jc w:val="both"/>
        <w:pStyle w:val="Normal"/>
      </w:pPr>
      <w:r>
        <w:rPr>
          <w:rFonts w:hAnsi="Times New Roman" w:cs="Times New Roman"/>
        </w:rPr>
        <w:t xml:space="preserve">omogućiti bolje planiranje mjera ublažavanja klimatskih promjena. Nadalje, CROLIS će povećati broj relevantnih
</w:t>
      </w:r>
    </w:p>
    <w:p>
      <w:pPr>
        <w:jc w:val="both"/>
        <w:pStyle w:val="Normal"/>
      </w:pPr>
      <w:r>
        <w:rPr>
          <w:rFonts w:hAnsi="Times New Roman" w:cs="Times New Roman"/>
        </w:rPr>
        <w:t xml:space="preserve">institucija koje će biti uključene u Land Parcel Identification System (LPIS), to jest hrvatski ARKOD. Trenutno je u
</w:t>
      </w:r>
    </w:p>
    <w:p>
      <w:pPr>
        <w:jc w:val="both"/>
        <w:pStyle w:val="Normal"/>
      </w:pPr>
      <w:r>
        <w:rPr>
          <w:rFonts w:hAnsi="Times New Roman" w:cs="Times New Roman"/>
        </w:rPr>
        <w:t xml:space="preserve">ARKOD uključena samo Agencija za plaćanja u poljoprivredi, ribarstvu i ruralnom razvoju (APPRRR), ali nakon
</w:t>
      </w:r>
    </w:p>
    <w:p>
      <w:pPr>
        <w:jc w:val="both"/>
        <w:pStyle w:val="Normal"/>
      </w:pPr>
      <w:r>
        <w:rPr>
          <w:rFonts w:hAnsi="Times New Roman" w:cs="Times New Roman"/>
        </w:rPr>
        <w:t xml:space="preserve">uspostave CROLIS-a, u ARKOD će, osim APPRRR-a, biti uključeni: Hrvatske šume d. o. o., Ministarstvo okoliša i zelene tranzicije te Državna geodetska uprava.
</w:t>
      </w:r>
    </w:p>
    <w:p>
      <w:pPr>
        <w:jc w:val="both"/>
        <w:pStyle w:val="Normal"/>
      </w:pPr>
      <w:r>
        <w:rPr>
          <w:rFonts w:hAnsi="Times New Roman" w:cs="Times New Roman"/>
        </w:rPr>
        <w:t xml:space="preserve">Trenutno u Republici Hrvatskoj ne postoji institucija koja raspolaže podacima o pokrovu i korištenju zemljišta te
</w:t>
      </w:r>
    </w:p>
    <w:p>
      <w:pPr>
        <w:jc w:val="both"/>
        <w:pStyle w:val="Normal"/>
      </w:pPr>
      <w:r>
        <w:rPr>
          <w:rFonts w:hAnsi="Times New Roman" w:cs="Times New Roman"/>
        </w:rPr>
        <w:t xml:space="preserve">upravljanju zemljištem i to podacima za sve kategorije zemljišta. Uspostavom CROLIS-a sva tijela profesionalno
</w:t>
      </w:r>
    </w:p>
    <w:p>
      <w:pPr>
        <w:jc w:val="both"/>
        <w:pStyle w:val="Normal"/>
      </w:pPr>
      <w:r>
        <w:rPr>
          <w:rFonts w:hAnsi="Times New Roman" w:cs="Times New Roman"/>
        </w:rPr>
        <w:t xml:space="preserve">certificirana za rad u području okoliša biti će informirane o mogućnostima CROLIS-a i informirane o načinu
</w:t>
      </w:r>
    </w:p>
    <w:p>
      <w:pPr>
        <w:jc w:val="both"/>
        <w:pStyle w:val="Normal"/>
      </w:pPr>
      <w:r>
        <w:rPr>
          <w:rFonts w:hAnsi="Times New Roman" w:cs="Times New Roman"/>
        </w:rPr>
        <w:t xml:space="preserve">njegovog korištenja (računa se oko stotinjak) kroz održavanje radionica, prezentacija i konferencija. Zbog problem u javnoj nabavi i poništenja natječaja za nabavu opreme koje je provodilo Ministarstvo zaštite okoliša i zelene tranzicije, u 2025.g. nisu bili realizirani planirani poslovi. Zbog toga je dio djelatnika zaposlenih na projektu CROLIS preraspodjeljen u druge službe kao ispomoć. Cijelu godinu su na projaktu radile konstatntno tri osobe, a ostali prema potrebi.
</w:t>
      </w:r>
    </w:p>
    <w:p>
      <w:pPr>
        <w:jc w:val="both"/>
        <w:pStyle w:val="Normal"/>
      </w:pPr>
      <w:r>
        <w:rPr>
          <w:rFonts w:hAnsi="Times New Roman" w:cs="Times New Roman"/>
        </w:rPr>
        <w:t xml:space="preserve">M</w:t>
      </w:r>
    </w:p>
    <w:p>
      <w:pPr>
        <w:jc w:val="left"/>
        <w:pStyle w:val="Heading8"/>
      </w:pPr>
      <w:r>
        <w:rPr>
          <w:rFonts w:hAnsi="Times New Roman" w:cs="Times New Roman"/>
        </w:rPr>
        <w:t xml:space="preserve">Pokazatelji rezultata</w:t>
      </w:r>
    </w:p>
    <w:tbl>
      <w:tblPr w:type="dxa">
        <w:tblStyle w:val="StilTablice"/>
        <w:tblW w:w="10206"/>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3096</w:gridCol>
        <w:gridCol>3096</w:gridCol>
        <w:gridCol>3096</w:gridCol>
        <w:gridCol>3096</w:gridCol>
        <w:gridCol>3096</w:gridCol>
        <w:gridCol>3096</w:gridCol>
        <w:gridCol>3096</w:gridCol>
      </w:tblGrid>
      <w:tr>
        <w:trPr>
          <w:cantSplit/>
        </w:trPr>
        <w:tc>
          <w:tcPr>
            <w:tcW w:w="2551.5" w:type="dxa"/>
            <w:vAlign w:val="center"/>
            <w:shd w:val="clear" w:color="auto" w:fill="b5c0d8"/>
          </w:tcPr>
          <w:p>
            <w:pPr>
              <w:jc w:val="center"/>
            </w:pPr>
            <w:r>
              <w:rPr>
                <w:rFonts w:hAnsi="Times New Roman" w:cs="Times New Roman"/>
              </w:rPr>
              <w:t xml:space="preserve">Pokazatelj rezultata</w:t>
            </w:r>
          </w:p>
        </w:tc>
        <w:tc>
          <w:tcPr>
            <w:tcW w:w="2551.5" w:type="dxa"/>
            <w:vAlign w:val="center"/>
            <w:shd w:val="clear" w:color="auto" w:fill="b5c0d8"/>
          </w:tcPr>
          <w:p>
            <w:pPr>
              <w:jc w:val="center"/>
              <w:pStyle w:val="CellHeader"/>
            </w:pPr>
            <w:r>
              <w:rPr>
                <w:rFonts w:hAnsi="Times New Roman" w:cs="Times New Roman"/>
              </w:rPr>
              <w:t xml:space="preserve">Definicija</w:t>
            </w:r>
          </w:p>
        </w:tc>
        <w:tc>
          <w:tcPr>
            <w:tcW w:w="1020.6" w:type="dxa"/>
            <w:vAlign w:val="center"/>
            <w:shd w:val="clear" w:color="auto" w:fill="b5c0d8"/>
          </w:tcPr>
          <w:p>
            <w:pPr>
              <w:jc w:val="center"/>
              <w:pStyle w:val="CellHeader"/>
            </w:pPr>
            <w:r>
              <w:rPr>
                <w:rFonts w:hAnsi="Times New Roman" w:cs="Times New Roman"/>
              </w:rPr>
              <w:t xml:space="preserve">Jedinica</w:t>
            </w:r>
          </w:p>
        </w:tc>
        <w:tc>
          <w:tcPr>
            <w:tcW w:w="1020.6" w:type="dxa"/>
            <w:vAlign w:val="center"/>
            <w:shd w:val="clear" w:color="auto" w:fill="b5c0d8"/>
          </w:tcPr>
          <w:p>
            <w:pPr>
              <w:jc w:val="center"/>
              <w:pStyle w:val="CellHeader"/>
            </w:pPr>
            <w:r>
              <w:rPr>
                <w:rFonts w:hAnsi="Times New Roman" w:cs="Times New Roman"/>
              </w:rPr>
              <w:t xml:space="preserve">Polazna vrijednost</w:t>
            </w:r>
          </w:p>
        </w:tc>
        <w:tc>
          <w:tcPr>
            <w:tcW w:w="1020.6" w:type="dxa"/>
            <w:vAlign w:val="center"/>
            <w:shd w:val="clear" w:color="auto" w:fill="b5c0d8"/>
          </w:tcPr>
          <w:p>
            <w:pPr>
              <w:jc w:val="center"/>
              <w:pStyle w:val="CellHeader"/>
            </w:pPr>
            <w:r>
              <w:rPr>
                <w:rFonts w:hAnsi="Times New Roman" w:cs="Times New Roman"/>
              </w:rPr>
              <w:t xml:space="preserve">Izvor podataka</w:t>
            </w:r>
          </w:p>
        </w:tc>
        <w:tc>
          <w:tcPr>
            <w:tcW w:w="1020.6" w:type="dxa"/>
            <w:vAlign w:val="center"/>
            <w:shd w:val="clear" w:color="auto" w:fill="b5c0d8"/>
          </w:tcPr>
          <w:p>
            <w:pPr>
              <w:jc w:val="center"/>
              <w:pStyle w:val="CellHeader"/>
            </w:pPr>
            <w:r>
              <w:rPr>
                <w:rFonts w:hAnsi="Times New Roman" w:cs="Times New Roman"/>
              </w:rPr>
              <w:t xml:space="preserve">Ciljana vrijednost (2025.)</w:t>
            </w:r>
          </w:p>
        </w:tc>
        <w:tc>
          <w:tcPr>
            <w:tcW w:w="1020.6" w:type="dxa"/>
            <w:vAlign w:val="center"/>
            <w:shd w:val="clear" w:color="auto" w:fill="b5c0d8"/>
          </w:tcPr>
          <w:p>
            <w:pPr>
              <w:jc w:val="center"/>
              <w:pStyle w:val="CellHeader"/>
            </w:pPr>
            <w:r>
              <w:rPr>
                <w:rFonts w:hAnsi="Times New Roman" w:cs="Times New Roman"/>
              </w:rPr>
              <w:t xml:space="preserve">Ostvarena vrijednost (2025.)</w:t>
            </w:r>
          </w:p>
        </w:tc>
      </w:tr>
      <w:tr>
        <w:trPr>
          <w:cantSplit/>
        </w:trPr>
        <w:tc>
          <w:tcPr>
            <w:tcW w:w="2551.5" w:type="dxa"/>
            <w:vAlign w:val="center"/>
          </w:tcPr>
          <w:p>
            <w:pPr>
              <w:jc w:val="left"/>
              <w:pStyle w:val="CellColumn"/>
            </w:pPr>
            <w:r>
              <w:rPr>
                <w:rFonts w:hAnsi="Times New Roman" w:cs="Times New Roman"/>
              </w:rPr>
              <w:t xml:space="preserve">Osigurani odgovarajući ljudski potencijali</w:t>
            </w:r>
          </w:p>
        </w:tc>
        <w:tc>
          <w:tcPr>
            <w:tcW w:w="2551.5" w:type="dxa"/>
            <w:vAlign w:val="center"/>
          </w:tcPr>
          <w:p>
            <w:pPr>
              <w:jc w:val="left"/>
              <w:pStyle w:val="CellColumn"/>
            </w:pPr>
            <w:r>
              <w:rPr>
                <w:rFonts w:hAnsi="Times New Roman" w:cs="Times New Roman"/>
              </w:rPr>
              <w:t xml:space="preserve">Zapošljavanje stručnih ljudi sukladno specifikaciji projektnog zadatka</w:t>
            </w:r>
          </w:p>
        </w:tc>
        <w:tc>
          <w:tcPr>
            <w:tcW w:w="1020.6" w:type="dxa"/>
            <w:vAlign w:val="center"/>
          </w:tcPr>
          <w:p>
            <w:pPr>
              <w:jc w:val="right"/>
              <w:pStyle w:val="CellColumn"/>
            </w:pPr>
            <w:r>
              <w:rPr>
                <w:rFonts w:hAnsi="Times New Roman" w:cs="Times New Roman"/>
              </w:rPr>
              <w:t xml:space="preserve">broj</w:t>
            </w:r>
          </w:p>
        </w:tc>
        <w:tc>
          <w:tcPr>
            <w:tcW w:w="1020.6" w:type="dxa"/>
            <w:vAlign w:val="center"/>
          </w:tcPr>
          <w:p>
            <w:pPr>
              <w:jc w:val="right"/>
              <w:pStyle w:val="CellColumn"/>
            </w:pPr>
            <w:r>
              <w:rPr>
                <w:rFonts w:hAnsi="Times New Roman" w:cs="Times New Roman"/>
              </w:rPr>
              <w:t xml:space="preserve">10</w:t>
            </w:r>
          </w:p>
        </w:tc>
        <w:tc>
          <w:tcPr>
            <w:tcW w:w="1020.6" w:type="dxa"/>
            <w:vAlign w:val="center"/>
          </w:tcPr>
          <w:p>
            <w:pPr>
              <w:jc w:val="right"/>
              <w:pStyle w:val="CellColumn"/>
            </w:pPr>
            <w:r>
              <w:rPr>
                <w:rFonts w:hAnsi="Times New Roman" w:cs="Times New Roman"/>
              </w:rPr>
              <w:t xml:space="preserve">APPRRR</w:t>
            </w:r>
          </w:p>
        </w:tc>
        <w:tc>
          <w:tcPr>
            <w:tcW w:w="1020.6" w:type="dxa"/>
            <w:vAlign w:val="center"/>
          </w:tcPr>
          <w:p>
            <w:pPr>
              <w:jc w:val="right"/>
              <w:pStyle w:val="CellColumn"/>
            </w:pPr>
            <w:r>
              <w:rPr>
                <w:rFonts w:hAnsi="Times New Roman" w:cs="Times New Roman"/>
              </w:rPr>
              <w:t xml:space="preserve">15</w:t>
            </w:r>
          </w:p>
        </w:tc>
        <w:tc>
          <w:tcPr>
            <w:tcW w:w="1020.6" w:type="dxa"/>
            <w:vAlign w:val="center"/>
          </w:tcPr>
          <w:p>
            <w:pPr>
              <w:jc w:val="right"/>
              <w:pStyle w:val="CellColumn"/>
            </w:pPr>
            <w:r>
              <w:rPr>
                <w:rFonts w:hAnsi="Times New Roman" w:cs="Times New Roman"/>
              </w:rPr>
              <w:t xml:space="preserve">11</w:t>
            </w:r>
          </w:p>
        </w:tc>
      </w:tr>
      <w:tr>
        <w:trPr>
          <w:cantSplit/>
        </w:trPr>
        <w:tc>
          <w:tcPr>
            <w:tcW w:w="2551.5" w:type="dxa"/>
            <w:vAlign w:val="center"/>
          </w:tcPr>
          <w:p>
            <w:pPr>
              <w:jc w:val="left"/>
              <w:pStyle w:val="CellColumn"/>
            </w:pPr>
            <w:r>
              <w:rPr>
                <w:rFonts w:hAnsi="Times New Roman" w:cs="Times New Roman"/>
              </w:rPr>
              <w:t xml:space="preserve">Broj održanih edukacija</w:t>
            </w:r>
          </w:p>
        </w:tc>
        <w:tc>
          <w:tcPr>
            <w:tcW w:w="2551.5" w:type="dxa"/>
            <w:vAlign w:val="center"/>
          </w:tcPr>
          <w:p>
            <w:pPr>
              <w:jc w:val="left"/>
              <w:pStyle w:val="CellColumn"/>
            </w:pPr>
            <w:r>
              <w:rPr>
                <w:rFonts w:hAnsi="Times New Roman" w:cs="Times New Roman"/>
              </w:rPr>
              <w:t xml:space="preserve">Pohađanjem edukacija,
</w:t>
            </w:r>
          </w:p>
          <w:p>
            <w:pPr>
              <w:jc w:val="left"/>
              <w:pStyle w:val="CellColumn"/>
            </w:pPr>
            <w:r>
              <w:rPr>
                <w:rFonts w:hAnsi="Times New Roman" w:cs="Times New Roman"/>
              </w:rPr>
              <w:t xml:space="preserve">treninga i studijskih
</w:t>
            </w:r>
          </w:p>
          <w:p>
            <w:pPr>
              <w:jc w:val="left"/>
              <w:pStyle w:val="CellColumn"/>
            </w:pPr>
            <w:r>
              <w:rPr>
                <w:rFonts w:hAnsi="Times New Roman" w:cs="Times New Roman"/>
              </w:rPr>
              <w:t xml:space="preserve">posjeta djelatnici rade na
</w:t>
            </w:r>
          </w:p>
          <w:p>
            <w:pPr>
              <w:jc w:val="left"/>
              <w:pStyle w:val="CellColumn"/>
            </w:pPr>
            <w:r>
              <w:rPr>
                <w:rFonts w:hAnsi="Times New Roman" w:cs="Times New Roman"/>
              </w:rPr>
              <w:t xml:space="preserve">usavršavanju znanja i
</w:t>
            </w:r>
          </w:p>
          <w:p>
            <w:pPr>
              <w:jc w:val="left"/>
              <w:pStyle w:val="CellColumn"/>
            </w:pPr>
            <w:r>
              <w:rPr>
                <w:rFonts w:hAnsi="Times New Roman" w:cs="Times New Roman"/>
              </w:rPr>
              <w:t xml:space="preserve">vještina iz specifičnih
</w:t>
            </w:r>
          </w:p>
          <w:p>
            <w:pPr>
              <w:jc w:val="left"/>
              <w:pStyle w:val="CellColumn"/>
            </w:pPr>
            <w:r>
              <w:rPr>
                <w:rFonts w:hAnsi="Times New Roman" w:cs="Times New Roman"/>
              </w:rPr>
              <w:t xml:space="preserve">područja potrebnih za rad</w:t>
            </w:r>
          </w:p>
        </w:tc>
        <w:tc>
          <w:tcPr>
            <w:tcW w:w="1020.6" w:type="dxa"/>
            <w:vAlign w:val="center"/>
          </w:tcPr>
          <w:p>
            <w:pPr>
              <w:jc w:val="right"/>
              <w:pStyle w:val="CellColumn"/>
            </w:pPr>
            <w:r>
              <w:rPr>
                <w:rFonts w:hAnsi="Times New Roman" w:cs="Times New Roman"/>
              </w:rPr>
              <w:t xml:space="preserve">broj</w:t>
            </w:r>
          </w:p>
        </w:tc>
        <w:tc>
          <w:tcPr>
            <w:tcW w:w="1020.6" w:type="dxa"/>
            <w:vAlign w:val="center"/>
          </w:tcPr>
          <w:p>
            <w:pPr>
              <w:jc w:val="right"/>
              <w:pStyle w:val="CellColumn"/>
            </w:pPr>
            <w:r>
              <w:rPr>
                <w:rFonts w:hAnsi="Times New Roman" w:cs="Times New Roman"/>
              </w:rPr>
              <w:t xml:space="preserve">15</w:t>
            </w:r>
          </w:p>
        </w:tc>
        <w:tc>
          <w:tcPr>
            <w:tcW w:w="1020.6" w:type="dxa"/>
            <w:vAlign w:val="center"/>
          </w:tcPr>
          <w:p>
            <w:pPr>
              <w:jc w:val="right"/>
              <w:pStyle w:val="CellColumn"/>
            </w:pPr>
            <w:r>
              <w:rPr>
                <w:rFonts w:hAnsi="Times New Roman" w:cs="Times New Roman"/>
              </w:rPr>
              <w:t xml:space="preserve">APPRRR</w:t>
            </w:r>
          </w:p>
        </w:tc>
        <w:tc>
          <w:tcPr>
            <w:tcW w:w="1020.6" w:type="dxa"/>
            <w:vAlign w:val="center"/>
          </w:tcPr>
          <w:p>
            <w:pPr>
              <w:jc w:val="right"/>
              <w:pStyle w:val="CellColumn"/>
            </w:pPr>
            <w:r>
              <w:rPr>
                <w:rFonts w:hAnsi="Times New Roman" w:cs="Times New Roman"/>
              </w:rPr>
              <w:t xml:space="preserve">30</w:t>
            </w:r>
          </w:p>
        </w:tc>
        <w:tc>
          <w:tcPr>
            <w:tcW w:w="1020.6" w:type="dxa"/>
            <w:vAlign w:val="center"/>
          </w:tcPr>
          <w:p>
            <w:pPr>
              <w:jc w:val="right"/>
              <w:pStyle w:val="CellColumn"/>
            </w:pPr>
            <w:r>
              <w:rPr>
                <w:rFonts w:hAnsi="Times New Roman" w:cs="Times New Roman"/>
              </w:rPr>
              <w:t xml:space="preserve">0</w:t>
            </w:r>
          </w:p>
        </w:tc>
      </w:tr>
      <w:tr>
        <w:trPr>
          <w:cantSplit/>
        </w:trPr>
        <w:tc>
          <w:tcPr>
            <w:tcW w:w="2551.5" w:type="dxa"/>
            <w:vAlign w:val="center"/>
          </w:tcPr>
          <w:p>
            <w:pPr>
              <w:jc w:val="left"/>
              <w:pStyle w:val="CellColumn"/>
            </w:pPr>
            <w:r>
              <w:rPr>
                <w:rFonts w:hAnsi="Times New Roman" w:cs="Times New Roman"/>
              </w:rPr>
              <w:t xml:space="preserve">Provedena vektorizacija trening područja za 2020.g.</w:t>
            </w:r>
          </w:p>
        </w:tc>
        <w:tc>
          <w:tcPr>
            <w:tcW w:w="2551.5" w:type="dxa"/>
            <w:vAlign w:val="center"/>
          </w:tcPr>
          <w:p>
            <w:pPr>
              <w:jc w:val="left"/>
              <w:pStyle w:val="CellColumn"/>
            </w:pPr>
            <w:r>
              <w:rPr>
                <w:rFonts w:hAnsi="Times New Roman" w:cs="Times New Roman"/>
              </w:rPr>
              <w:t xml:space="preserve">Proces izrade CROLIS SW rješenja</w:t>
            </w:r>
          </w:p>
        </w:tc>
        <w:tc>
          <w:tcPr>
            <w:tcW w:w="1020.6" w:type="dxa"/>
            <w:vAlign w:val="center"/>
          </w:tcPr>
          <w:p>
            <w:pPr>
              <w:jc w:val="right"/>
              <w:pStyle w:val="CellColumn"/>
            </w:pPr>
            <w:r>
              <w:rPr>
                <w:rFonts w:hAnsi="Times New Roman" w:cs="Times New Roman"/>
              </w:rPr>
              <w:t xml:space="preserve">broj zona</w:t>
            </w:r>
          </w:p>
        </w:tc>
        <w:tc>
          <w:tcPr>
            <w:tcW w:w="1020.6" w:type="dxa"/>
            <w:vAlign w:val="center"/>
          </w:tcPr>
          <w:p>
            <w:pPr>
              <w:jc w:val="right"/>
              <w:pStyle w:val="CellColumn"/>
            </w:pPr>
            <w:r>
              <w:rPr>
                <w:rFonts w:hAnsi="Times New Roman" w:cs="Times New Roman"/>
              </w:rPr>
              <w:t xml:space="preserve">0</w:t>
            </w:r>
          </w:p>
        </w:tc>
        <w:tc>
          <w:tcPr>
            <w:tcW w:w="1020.6" w:type="dxa"/>
            <w:vAlign w:val="center"/>
          </w:tcPr>
          <w:p>
            <w:pPr>
              <w:jc w:val="right"/>
              <w:pStyle w:val="CellColumn"/>
            </w:pPr>
            <w:r>
              <w:rPr>
                <w:rFonts w:hAnsi="Times New Roman" w:cs="Times New Roman"/>
              </w:rPr>
              <w:t xml:space="preserve">APPRRR</w:t>
            </w:r>
          </w:p>
        </w:tc>
        <w:tc>
          <w:tcPr>
            <w:tcW w:w="1020.6" w:type="dxa"/>
            <w:vAlign w:val="center"/>
          </w:tcPr>
          <w:p>
            <w:pPr>
              <w:jc w:val="right"/>
              <w:pStyle w:val="CellColumn"/>
            </w:pPr>
            <w:r>
              <w:rPr>
                <w:rFonts w:hAnsi="Times New Roman" w:cs="Times New Roman"/>
              </w:rPr>
              <w:t xml:space="preserve">1.000</w:t>
            </w:r>
          </w:p>
        </w:tc>
        <w:tc>
          <w:tcPr>
            <w:tcW w:w="1020.6" w:type="dxa"/>
            <w:vAlign w:val="center"/>
          </w:tcPr>
          <w:p>
            <w:pPr>
              <w:jc w:val="right"/>
              <w:pStyle w:val="CellColumn"/>
            </w:pPr>
            <w:r>
              <w:rPr>
                <w:rFonts w:hAnsi="Times New Roman" w:cs="Times New Roman"/>
              </w:rPr>
              <w:t xml:space="preserve">1.108</w:t>
            </w:r>
          </w:p>
        </w:tc>
      </w:tr>
    </w:tbl>
    <w:p>
      <w:pPr>
        <w:jc w:val="left"/>
      </w:pPr>
      <w:r>
        <w:rPr>
          <w:rFonts w:hAnsi="Times New Roman" w:cs="Times New Roman"/>
        </w:rPr>
        <w:t xml:space="preserve"/>
      </w:r>
    </w:p>
    <w:p>
      <w:pPr>
        <w:jc w:val="left"/>
        <w:pStyle w:val="Heading3"/>
      </w:pPr>
      <w:r>
        <w:rPr>
          <w:rFonts w:hAnsi="Times New Roman" w:cs="Times New Roman"/>
        </w:rPr>
        <w:t xml:space="preserve">3004 RURALNI RAZVOJ</w:t>
      </w:r>
    </w:p>
    <w:tbl>
      <w:tblPr w:type="dxa">
        <w:tblStyle w:val="StilTablice"/>
        <w:tblW w:w="10206"/>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3096</w:gridCol>
        <w:gridCol>3096</w:gridCol>
        <w:gridCol>3096</w:gridCol>
        <w:gridCol>3096</w:gridCol>
        <w:gridCol>3096</w:gridCol>
        <w:gridCol>3096</w:gridCol>
      </w:tblGrid>
      <w:tr>
        <w:trPr>
          <w:cantSplit/>
        </w:trPr>
        <w:tc>
          <w:tcPr>
            <w:tcW w:w="1632.96" w:type="dxa"/>
            <w:vAlign w:val="center"/>
            <w:shd w:val="clear" w:color="auto" w:fill="b5c0d8"/>
          </w:tcPr>
          <w:p>
            <w:pPr>
              <w:jc w:val="center"/>
              <w:pStyle w:val="CellHeader"/>
            </w:pPr>
            <w:r>
              <w:rPr>
                <w:rFonts w:hAnsi="Times New Roman" w:cs="Times New Roman"/>
              </w:rPr>
              <w:t xml:space="preserve"/>
            </w:r>
          </w:p>
        </w:tc>
        <w:tc>
          <w:tcPr>
            <w:tcW w:w="2041.2" w:type="dxa"/>
            <w:vAlign w:val="center"/>
            <w:shd w:val="clear" w:color="auto" w:fill="b5c0d8"/>
          </w:tcPr>
          <w:p>
            <w:pPr>
              <w:jc w:val="center"/>
              <w:pStyle w:val="CellHeader"/>
            </w:pPr>
            <w:r>
              <w:rPr>
                <w:rFonts w:hAnsi="Times New Roman" w:cs="Times New Roman"/>
              </w:rPr>
              <w:t xml:space="preserve">Izvršenje 2024. (eur)</w:t>
            </w:r>
          </w:p>
        </w:tc>
        <w:tc>
          <w:tcPr>
            <w:tcW w:w="2041.2" w:type="dxa"/>
            <w:vAlign w:val="center"/>
            <w:shd w:val="clear" w:color="auto" w:fill="b5c0d8"/>
          </w:tcPr>
          <w:p>
            <w:pPr>
              <w:jc w:val="center"/>
              <w:pStyle w:val="CellHeader"/>
            </w:pPr>
            <w:r>
              <w:rPr>
                <w:rFonts w:hAnsi="Times New Roman" w:cs="Times New Roman"/>
              </w:rPr>
              <w:t xml:space="preserve">Plan 2025. (eur)</w:t>
            </w:r>
          </w:p>
        </w:tc>
        <w:tc>
          <w:tcPr>
            <w:tcW w:w="2041.2" w:type="dxa"/>
            <w:vAlign w:val="center"/>
            <w:shd w:val="clear" w:color="auto" w:fill="b5c0d8"/>
          </w:tcPr>
          <w:p>
            <w:pPr>
              <w:jc w:val="center"/>
              <w:pStyle w:val="CellHeader"/>
            </w:pPr>
            <w:r>
              <w:rPr>
                <w:rFonts w:hAnsi="Times New Roman" w:cs="Times New Roman"/>
              </w:rPr>
              <w:t xml:space="preserve">Izvršenje 2025. (eur)</w:t>
            </w:r>
          </w:p>
        </w:tc>
        <w:tc>
          <w:tcPr>
            <w:tcW w:w="1224.72" w:type="dxa"/>
            <w:vAlign w:val="center"/>
            <w:shd w:val="clear" w:color="auto" w:fill="b5c0d8"/>
          </w:tcPr>
          <w:p>
            <w:pPr>
              <w:jc w:val="center"/>
              <w:pStyle w:val="CellHeader"/>
            </w:pPr>
            <w:r>
              <w:rPr>
                <w:rFonts w:hAnsi="Times New Roman" w:cs="Times New Roman"/>
              </w:rPr>
              <w:t xml:space="preserve">Indeks izvršenje 2025./plan 2025.</w:t>
            </w:r>
          </w:p>
        </w:tc>
        <w:tc>
          <w:tcPr>
            <w:tcW w:w="1224.72" w:type="dxa"/>
            <w:vAlign w:val="center"/>
            <w:shd w:val="clear" w:color="auto" w:fill="b5c0d8"/>
          </w:tcPr>
          <w:p>
            <w:pPr>
              <w:jc w:val="center"/>
              <w:pStyle w:val="CellHeader"/>
            </w:pPr>
            <w:r>
              <w:rPr>
                <w:rFonts w:hAnsi="Times New Roman" w:cs="Times New Roman"/>
              </w:rPr>
              <w:t xml:space="preserve">Index izvršenje 2025./2024.</w:t>
            </w:r>
          </w:p>
        </w:tc>
      </w:tr>
      <w:tr>
        <w:trPr>
          <w:cantSplit/>
        </w:trPr>
        <w:tc>
          <w:tcPr>
            <w:tcW w:w="1632.96" w:type="dxa"/>
            <w:vAlign w:val="center"/>
          </w:tcPr>
          <w:p>
            <w:pPr>
              <w:jc w:val="left"/>
              <w:pStyle w:val="CellColumn"/>
            </w:pPr>
            <w:r>
              <w:rPr>
                <w:rFonts w:hAnsi="Times New Roman" w:cs="Times New Roman"/>
              </w:rPr>
              <w:t xml:space="preserve">3004-RURALNI RAZVOJ</w:t>
            </w:r>
          </w:p>
        </w:tc>
        <w:tc>
          <w:tcPr>
            <w:tcW w:w="2041.2" w:type="dxa"/>
            <w:vAlign w:val="center"/>
          </w:tcPr>
          <w:p>
            <w:pPr>
              <w:jc w:val="right"/>
              <w:pStyle w:val="CellColumn"/>
            </w:pPr>
            <w:r>
              <w:rPr>
                <w:rFonts w:hAnsi="Times New Roman" w:cs="Times New Roman"/>
              </w:rPr>
              <w:t xml:space="preserve">14.287.416</w:t>
            </w:r>
          </w:p>
        </w:tc>
        <w:tc>
          <w:tcPr>
            <w:tcW w:w="2041.2" w:type="dxa"/>
            <w:vAlign w:val="center"/>
          </w:tcPr>
          <w:p>
            <w:pPr>
              <w:jc w:val="right"/>
              <w:pStyle w:val="CellColumn"/>
            </w:pPr>
            <w:r>
              <w:rPr>
                <w:rFonts w:hAnsi="Times New Roman" w:cs="Times New Roman"/>
              </w:rPr>
              <w:t xml:space="preserve">12.220.286</w:t>
            </w:r>
          </w:p>
        </w:tc>
        <w:tc>
          <w:tcPr>
            <w:tcW w:w="2041.2" w:type="dxa"/>
            <w:vAlign w:val="center"/>
          </w:tcPr>
          <w:p>
            <w:pPr>
              <w:jc w:val="right"/>
              <w:pStyle w:val="CellColumn"/>
            </w:pPr>
            <w:r>
              <w:rPr>
                <w:rFonts w:hAnsi="Times New Roman" w:cs="Times New Roman"/>
              </w:rPr>
              <w:t xml:space="preserve">11.735.726</w:t>
            </w:r>
          </w:p>
        </w:tc>
        <w:tc>
          <w:tcPr>
            <w:tcW w:w="1224.72" w:type="dxa"/>
            <w:vAlign w:val="center"/>
          </w:tcPr>
          <w:p>
            <w:pPr>
              <w:jc w:val="right"/>
              <w:pStyle w:val="CellColumn"/>
            </w:pPr>
            <w:r>
              <w:rPr>
                <w:rFonts w:hAnsi="Times New Roman" w:cs="Times New Roman"/>
              </w:rPr>
              <w:t xml:space="preserve">96,0</w:t>
            </w:r>
          </w:p>
        </w:tc>
        <w:tc>
          <w:tcPr>
            <w:tcW w:w="1224.72" w:type="dxa"/>
            <w:vAlign w:val="center"/>
          </w:tcPr>
          <w:p>
            <w:pPr>
              <w:jc w:val="right"/>
              <w:pStyle w:val="CellColumn"/>
            </w:pPr>
            <w:r>
              <w:rPr>
                <w:rFonts w:hAnsi="Times New Roman" w:cs="Times New Roman"/>
              </w:rPr>
              <w:t xml:space="preserve">82,1</w:t>
            </w:r>
          </w:p>
        </w:tc>
      </w:tr>
    </w:tbl>
    <w:p>
      <w:pPr>
        <w:jc w:val="left"/>
      </w:pPr>
      <w:r>
        <w:rPr>
          <w:rFonts w:hAnsi="Times New Roman" w:cs="Times New Roman"/>
        </w:rPr>
        <w:t xml:space="preserve"/>
      </w:r>
    </w:p>
    <w:p>
      <w:pPr>
        <w:jc w:val="both"/>
        <w:pStyle w:val="Normal"/>
      </w:pPr>
      <w:r>
        <w:rPr>
          <w:rFonts w:hAnsi="Times New Roman" w:cs="Times New Roman"/>
        </w:rPr>
        <w:t xml:space="preserve">Ruralni razvoj kao drugi stup Zajedničke poljoprivredne politike financiran je sredstvima Europskog 
</w:t>
      </w:r>
    </w:p>
    <w:p>
      <w:pPr>
        <w:jc w:val="both"/>
        <w:pStyle w:val="Normal"/>
      </w:pPr>
      <w:r>
        <w:rPr>
          <w:rFonts w:hAnsi="Times New Roman" w:cs="Times New Roman"/>
        </w:rPr>
        <w:t xml:space="preserve">poljoprivrednog fonda za ruralni razvoj (EPFRR), a dugoročni cilj je povećanje konkurentnosti poljoprivrede, 
</w:t>
      </w:r>
    </w:p>
    <w:p>
      <w:pPr>
        <w:jc w:val="both"/>
        <w:pStyle w:val="Normal"/>
      </w:pPr>
      <w:r>
        <w:rPr>
          <w:rFonts w:hAnsi="Times New Roman" w:cs="Times New Roman"/>
        </w:rPr>
        <w:t xml:space="preserve">održivo upravljanje prirodnim resursima i uravnotežen razvoj ruralnih krajeva. 
</w:t>
      </w:r>
    </w:p>
    <w:p>
      <w:pPr>
        <w:jc w:val="both"/>
        <w:pStyle w:val="Normal"/>
      </w:pPr>
      <w:r>
        <w:rPr>
          <w:rFonts w:hAnsi="Times New Roman" w:cs="Times New Roman"/>
        </w:rPr>
        <w:t xml:space="preserve">Program ruralnog razvoja Republike Hrvatske za razdoblje 2014. – 2020. službeno je odobren sredinom 2015. 
</w:t>
      </w:r>
    </w:p>
    <w:p>
      <w:pPr>
        <w:jc w:val="both"/>
        <w:pStyle w:val="Normal"/>
      </w:pPr>
      <w:r>
        <w:rPr>
          <w:rFonts w:hAnsi="Times New Roman" w:cs="Times New Roman"/>
        </w:rPr>
        <w:t xml:space="preserve">godine. Njegova ukupna alokacija iznosi 2.383 milijarde eura, od čega se 2.026 milijarde eura financira iz 
</w:t>
      </w:r>
    </w:p>
    <w:p>
      <w:pPr>
        <w:jc w:val="both"/>
        <w:pStyle w:val="Normal"/>
      </w:pPr>
      <w:r>
        <w:rPr>
          <w:rFonts w:hAnsi="Times New Roman" w:cs="Times New Roman"/>
        </w:rPr>
        <w:t xml:space="preserve">Europskog fonda za ruralni razvoj (EPFRR), a ostatak iz sredstava nacionalnog proračuna Republike Hrvatske. 
</w:t>
      </w:r>
    </w:p>
    <w:p>
      <w:pPr>
        <w:jc w:val="both"/>
        <w:pStyle w:val="Normal"/>
      </w:pPr>
      <w:r>
        <w:rPr>
          <w:rFonts w:hAnsi="Times New Roman" w:cs="Times New Roman"/>
        </w:rPr>
        <w:t xml:space="preserve">Isplate iz ovog programa završene su s datumom 31.12.2025.g. 
</w:t>
      </w:r>
    </w:p>
    <w:p>
      <w:pPr>
        <w:jc w:val="both"/>
        <w:pStyle w:val="Normal"/>
      </w:pPr>
      <w:r>
        <w:rPr>
          <w:rFonts w:hAnsi="Times New Roman" w:cs="Times New Roman"/>
        </w:rPr>
        <w:t xml:space="preserve">Zajednička poljoprivredna politika EU 2023.-2027.g. kao opće ciljeve ističe: 
</w:t>
      </w:r>
    </w:p>
    <w:p>
      <w:pPr>
        <w:jc w:val="both"/>
        <w:pStyle w:val="Normal"/>
      </w:pPr>
      <w:r>
        <w:rPr>
          <w:rFonts w:hAnsi="Times New Roman" w:cs="Times New Roman"/>
        </w:rPr>
        <w:t xml:space="preserve">-poticanje pametnog, konkuretnog i diversificiranog sektora poljoprivrede kojim se osigurava dugoročna sigurnost 
</w:t>
      </w:r>
    </w:p>
    <w:p>
      <w:pPr>
        <w:jc w:val="both"/>
        <w:pStyle w:val="Normal"/>
      </w:pPr>
      <w:r>
        <w:rPr>
          <w:rFonts w:hAnsi="Times New Roman" w:cs="Times New Roman"/>
        </w:rPr>
        <w:t xml:space="preserve">opskrbe hranom; 
</w:t>
      </w:r>
    </w:p>
    <w:p>
      <w:pPr>
        <w:jc w:val="both"/>
        <w:pStyle w:val="Normal"/>
      </w:pPr>
      <w:r>
        <w:rPr>
          <w:rFonts w:hAnsi="Times New Roman" w:cs="Times New Roman"/>
        </w:rPr>
        <w:t xml:space="preserve">-podupiranje i jačanje zaštite okoliša, uključujući bioraznolikost i djelovanje u području klime te doprinos 
</w:t>
      </w:r>
    </w:p>
    <w:p>
      <w:pPr>
        <w:jc w:val="both"/>
        <w:pStyle w:val="Normal"/>
      </w:pPr>
      <w:r>
        <w:rPr>
          <w:rFonts w:hAnsi="Times New Roman" w:cs="Times New Roman"/>
        </w:rPr>
        <w:t xml:space="preserve">postizanju ciljeva unije u području okoliša i klime, uključujući njezine obveze u okviru Pariškog sporazuma; 
</w:t>
      </w:r>
    </w:p>
    <w:p>
      <w:pPr>
        <w:jc w:val="both"/>
        <w:pStyle w:val="Normal"/>
      </w:pPr>
      <w:r>
        <w:rPr>
          <w:rFonts w:hAnsi="Times New Roman" w:cs="Times New Roman"/>
        </w:rPr>
        <w:t xml:space="preserve">-jačanje socioekonomske strukture ruralnih područja. 
</w:t>
      </w:r>
    </w:p>
    <w:p>
      <w:pPr>
        <w:jc w:val="both"/>
        <w:pStyle w:val="Normal"/>
      </w:pPr>
      <w:r>
        <w:rPr>
          <w:rFonts w:hAnsi="Times New Roman" w:cs="Times New Roman"/>
        </w:rPr>
        <w:t xml:space="preserve">Poljoprivreda i ruralna područja imaju središnju ulogu u europskom zelenom planu, a ZPP za razdoblje 2023. – 2027. bit će ključan instrument u ostvarivanju ciljeva strategije „od polja do stola” i strategije za bioraznolikost.</w:t>
      </w:r>
    </w:p>
    <w:p>
      <w:pPr>
        <w:jc w:val="left"/>
        <w:pStyle w:val="Heading8"/>
      </w:pPr>
      <w:r>
        <w:rPr>
          <w:rFonts w:hAnsi="Times New Roman" w:cs="Times New Roman"/>
        </w:rPr>
        <w:t xml:space="preserve">Cilj 1. Unapređenje kvalitete života u ruralnim područjima</w:t>
      </w:r>
    </w:p>
    <w:p>
      <w:pPr>
        <w:jc w:val="left"/>
        <w:pStyle w:val="Heading8"/>
      </w:pPr>
      <w:r>
        <w:rPr>
          <w:rFonts w:hAnsi="Times New Roman" w:cs="Times New Roman"/>
        </w:rPr>
        <w:t xml:space="preserve">Opis provedbe cilja programa</w:t>
      </w:r>
    </w:p>
    <w:p>
      <w:pPr>
        <w:jc w:val="both"/>
        <w:pStyle w:val="Normal"/>
      </w:pPr>
      <w:r>
        <w:rPr>
          <w:rFonts w:hAnsi="Times New Roman" w:cs="Times New Roman"/>
        </w:rPr>
        <w:t xml:space="preserve">- Unaprijediti koordinaciju i komplementarnost između intervencija u ruralnim područjima. Uskladiti ulaganja u teritorijalni razvoj na regionalnoj i lokalnoj razini, koja  se potiču putem različitih sektorskih programa, uključujući ulaganja u poboljšanje kvalitete osnovnih javnih usluga u ruralnim područjima (npr. gospodarenje otpadom,  
</w:t>
      </w:r>
    </w:p>
    <w:p>
      <w:pPr>
        <w:jc w:val="both"/>
        <w:pStyle w:val="Normal"/>
      </w:pPr>
      <w:r>
        <w:rPr>
          <w:rFonts w:hAnsi="Times New Roman" w:cs="Times New Roman"/>
        </w:rPr>
        <w:t xml:space="preserve">obrazovanje) te njihovo usklađivanje, gdje je to primjereno, s potrebama bioekonomije. 
</w:t>
      </w:r>
    </w:p>
    <w:p>
      <w:pPr>
        <w:jc w:val="both"/>
        <w:pStyle w:val="Normal"/>
      </w:pPr>
      <w:r>
        <w:rPr>
          <w:rFonts w:hAnsi="Times New Roman" w:cs="Times New Roman"/>
        </w:rPr>
        <w:t xml:space="preserve"> - Unaprijediti javnu infrastrukturu u ruralnim područjima. Nadograditi fizičku infrastrukturu u ruralnim područjima za pružanje usluga digitalne tehnologije nove generacije, navodnjavanje, sustave proizvodnje obnovljive energije i povećanje energetske učinkovitosti.</w:t>
      </w:r>
    </w:p>
    <w:p>
      <w:pPr>
        <w:jc w:val="left"/>
        <w:pStyle w:val="Heading8"/>
      </w:pPr>
      <w:r>
        <w:rPr>
          <w:rFonts w:hAnsi="Times New Roman" w:cs="Times New Roman"/>
        </w:rPr>
        <w:t xml:space="preserve">Pokazatelji učinka</w:t>
      </w:r>
    </w:p>
    <w:tbl>
      <w:tblPr w:type="dxa">
        <w:tblStyle w:val="StilTablice"/>
        <w:tblW w:w="10206"/>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3096</w:gridCol>
        <w:gridCol>3096</w:gridCol>
        <w:gridCol>3096</w:gridCol>
        <w:gridCol>3096</w:gridCol>
        <w:gridCol>3096</w:gridCol>
        <w:gridCol>3096</w:gridCol>
        <w:gridCol>3096</w:gridCol>
      </w:tblGrid>
      <w:tr>
        <w:trPr>
          <w:cantSplit/>
        </w:trPr>
        <w:tc>
          <w:tcPr>
            <w:tcW w:w="2551.5" w:type="dxa"/>
            <w:vAlign w:val="center"/>
            <w:shd w:val="clear" w:color="auto" w:fill="b5c0d8"/>
          </w:tcPr>
          <w:p>
            <w:pPr>
              <w:jc w:val="center"/>
            </w:pPr>
            <w:r>
              <w:rPr>
                <w:rFonts w:hAnsi="Times New Roman" w:cs="Times New Roman"/>
              </w:rPr>
              <w:t xml:space="preserve">Pokazatelj učinka</w:t>
            </w:r>
          </w:p>
        </w:tc>
        <w:tc>
          <w:tcPr>
            <w:tcW w:w="2551.5" w:type="dxa"/>
            <w:vAlign w:val="center"/>
            <w:shd w:val="clear" w:color="auto" w:fill="b5c0d8"/>
          </w:tcPr>
          <w:p>
            <w:pPr>
              <w:jc w:val="center"/>
              <w:pStyle w:val="CellHeader"/>
            </w:pPr>
            <w:r>
              <w:rPr>
                <w:rFonts w:hAnsi="Times New Roman" w:cs="Times New Roman"/>
              </w:rPr>
              <w:t xml:space="preserve">Definicija</w:t>
            </w:r>
          </w:p>
        </w:tc>
        <w:tc>
          <w:tcPr>
            <w:tcW w:w="1020.6" w:type="dxa"/>
            <w:vAlign w:val="center"/>
            <w:shd w:val="clear" w:color="auto" w:fill="b5c0d8"/>
          </w:tcPr>
          <w:p>
            <w:pPr>
              <w:jc w:val="center"/>
              <w:pStyle w:val="CellHeader"/>
            </w:pPr>
            <w:r>
              <w:rPr>
                <w:rFonts w:hAnsi="Times New Roman" w:cs="Times New Roman"/>
              </w:rPr>
              <w:t xml:space="preserve">Jedinica</w:t>
            </w:r>
          </w:p>
        </w:tc>
        <w:tc>
          <w:tcPr>
            <w:tcW w:w="1020.6" w:type="dxa"/>
            <w:vAlign w:val="center"/>
            <w:shd w:val="clear" w:color="auto" w:fill="b5c0d8"/>
          </w:tcPr>
          <w:p>
            <w:pPr>
              <w:jc w:val="center"/>
              <w:pStyle w:val="CellHeader"/>
            </w:pPr>
            <w:r>
              <w:rPr>
                <w:rFonts w:hAnsi="Times New Roman" w:cs="Times New Roman"/>
              </w:rPr>
              <w:t xml:space="preserve">Polazna vrijednost</w:t>
            </w:r>
          </w:p>
        </w:tc>
        <w:tc>
          <w:tcPr>
            <w:tcW w:w="918.54" w:type="dxa"/>
            <w:vAlign w:val="center"/>
            <w:shd w:val="clear" w:color="auto" w:fill="b5c0d8"/>
          </w:tcPr>
          <w:p>
            <w:pPr>
              <w:jc w:val="center"/>
              <w:pStyle w:val="CellHeader"/>
            </w:pPr>
            <w:r>
              <w:rPr>
                <w:rFonts w:hAnsi="Times New Roman" w:cs="Times New Roman"/>
              </w:rPr>
              <w:t xml:space="preserve">Izvor podataka</w:t>
            </w:r>
          </w:p>
        </w:tc>
        <w:tc>
          <w:tcPr>
            <w:tcW w:w="1020.6" w:type="dxa"/>
            <w:vAlign w:val="center"/>
            <w:shd w:val="clear" w:color="auto" w:fill="b5c0d8"/>
          </w:tcPr>
          <w:p>
            <w:pPr>
              <w:jc w:val="center"/>
              <w:pStyle w:val="CellHeader"/>
            </w:pPr>
            <w:r>
              <w:rPr>
                <w:rFonts w:hAnsi="Times New Roman" w:cs="Times New Roman"/>
              </w:rPr>
              <w:t xml:space="preserve">Ciljana vrijednost (2025.)</w:t>
            </w:r>
          </w:p>
        </w:tc>
        <w:tc>
          <w:tcPr>
            <w:tcW w:w="1020.6" w:type="dxa"/>
            <w:vAlign w:val="center"/>
            <w:shd w:val="clear" w:color="auto" w:fill="b5c0d8"/>
          </w:tcPr>
          <w:p>
            <w:pPr>
              <w:jc w:val="center"/>
              <w:pStyle w:val="CellHeader"/>
            </w:pPr>
            <w:r>
              <w:rPr>
                <w:rFonts w:hAnsi="Times New Roman" w:cs="Times New Roman"/>
              </w:rPr>
              <w:t xml:space="preserve">Ostvarena vrijednost (2025.)</w:t>
            </w:r>
          </w:p>
        </w:tc>
      </w:tr>
      <w:tr>
        <w:trPr>
          <w:cantSplit/>
        </w:trPr>
        <w:tc>
          <w:tcPr>
            <w:tcW w:w="2551.5" w:type="dxa"/>
            <w:vAlign w:val="center"/>
          </w:tcPr>
          <w:p>
            <w:pPr>
              <w:jc w:val="left"/>
              <w:pStyle w:val="CellColumn"/>
            </w:pPr>
            <w:r>
              <w:rPr>
                <w:rFonts w:hAnsi="Times New Roman" w:cs="Times New Roman"/>
              </w:rPr>
              <w:t xml:space="preserve">Postotak iskorištenosti sredstava iz mjera PRR-a SP ZPP 2023-2027</w:t>
            </w:r>
          </w:p>
        </w:tc>
        <w:tc>
          <w:tcPr>
            <w:tcW w:w="2551.5" w:type="dxa"/>
            <w:vAlign w:val="center"/>
          </w:tcPr>
          <w:p>
            <w:pPr>
              <w:jc w:val="left"/>
              <w:pStyle w:val="CellColumn"/>
            </w:pPr>
            <w:r>
              <w:rPr>
                <w:rFonts w:hAnsi="Times New Roman" w:cs="Times New Roman"/>
              </w:rPr>
              <w:t xml:space="preserve">Postotak isplaćene ukupne javne potpore u odnosu na alokaciju</w:t>
            </w:r>
          </w:p>
        </w:tc>
        <w:tc>
          <w:tcPr>
            <w:tcW w:w="1020.6" w:type="dxa"/>
            <w:vAlign w:val="center"/>
          </w:tcPr>
          <w:p>
            <w:pPr>
              <w:jc w:val="right"/>
              <w:pStyle w:val="CellColumn"/>
            </w:pPr>
            <w:r>
              <w:rPr>
                <w:rFonts w:hAnsi="Times New Roman" w:cs="Times New Roman"/>
              </w:rPr>
              <w:t xml:space="preserve">%</w:t>
            </w:r>
          </w:p>
        </w:tc>
        <w:tc>
          <w:tcPr>
            <w:tcW w:w="1020.6" w:type="dxa"/>
            <w:vAlign w:val="center"/>
          </w:tcPr>
          <w:p>
            <w:pPr>
              <w:jc w:val="right"/>
              <w:pStyle w:val="CellColumn"/>
            </w:pPr>
            <w:r>
              <w:rPr>
                <w:rFonts w:hAnsi="Times New Roman" w:cs="Times New Roman"/>
              </w:rPr>
              <w:t xml:space="preserve">10,70</w:t>
            </w:r>
          </w:p>
        </w:tc>
        <w:tc>
          <w:tcPr>
            <w:tcW w:w="1020.6" w:type="dxa"/>
            <w:vAlign w:val="center"/>
          </w:tcPr>
          <w:p>
            <w:pPr>
              <w:jc w:val="right"/>
              <w:pStyle w:val="CellColumn"/>
            </w:pPr>
            <w:r>
              <w:rPr>
                <w:rFonts w:hAnsi="Times New Roman" w:cs="Times New Roman"/>
              </w:rPr>
              <w:t xml:space="preserve">APPRRR</w:t>
            </w:r>
          </w:p>
        </w:tc>
        <w:tc>
          <w:tcPr>
            <w:tcW w:w="1020.6" w:type="dxa"/>
            <w:vAlign w:val="center"/>
          </w:tcPr>
          <w:p>
            <w:pPr>
              <w:jc w:val="right"/>
              <w:pStyle w:val="CellColumn"/>
            </w:pPr>
            <w:r>
              <w:rPr>
                <w:rFonts w:hAnsi="Times New Roman" w:cs="Times New Roman"/>
              </w:rPr>
              <w:t xml:space="preserve">30</w:t>
            </w:r>
          </w:p>
        </w:tc>
        <w:tc>
          <w:tcPr>
            <w:tcW w:w="1020.6" w:type="dxa"/>
            <w:vAlign w:val="center"/>
          </w:tcPr>
          <w:p>
            <w:pPr>
              <w:jc w:val="right"/>
              <w:pStyle w:val="CellColumn"/>
            </w:pPr>
            <w:r>
              <w:rPr>
                <w:rFonts w:hAnsi="Times New Roman" w:cs="Times New Roman"/>
              </w:rPr>
              <w:t xml:space="preserve">30</w:t>
            </w:r>
          </w:p>
        </w:tc>
      </w:tr>
    </w:tbl>
    <w:p>
      <w:pPr>
        <w:jc w:val="left"/>
      </w:pPr>
      <w:r>
        <w:rPr>
          <w:rFonts w:hAnsi="Times New Roman" w:cs="Times New Roman"/>
        </w:rPr>
        <w:t xml:space="preserve"/>
      </w:r>
    </w:p>
    <w:p>
      <w:pPr>
        <w:jc w:val="left"/>
        <w:pStyle w:val="Heading4"/>
      </w:pPr>
      <w:r>
        <w:rPr>
          <w:rFonts w:hAnsi="Times New Roman" w:cs="Times New Roman"/>
        </w:rPr>
        <w:t xml:space="preserve">A841005 TEHNIČKA POMOĆ - PROGRAM RURALNOG RAZVOJA</w:t>
      </w:r>
    </w:p>
    <w:tbl>
      <w:tblPr w:type="dxa">
        <w:tblStyle w:val="StilTablice"/>
        <w:tblW w:w="10206"/>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3096</w:gridCol>
        <w:gridCol>3096</w:gridCol>
        <w:gridCol>3096</w:gridCol>
        <w:gridCol>3096</w:gridCol>
        <w:gridCol>3096</w:gridCol>
        <w:gridCol>3096</w:gridCol>
      </w:tblGrid>
      <w:tr>
        <w:trPr>
          <w:cantSplit/>
        </w:trPr>
        <w:tc>
          <w:tcPr>
            <w:tcW w:w="1632.96" w:type="dxa"/>
            <w:vAlign w:val="center"/>
            <w:shd w:val="clear" w:color="auto" w:fill="b5c0d8"/>
          </w:tcPr>
          <w:p>
            <w:pPr>
              <w:jc w:val="center"/>
              <w:pStyle w:val="CellHeader"/>
            </w:pPr>
            <w:r>
              <w:rPr>
                <w:rFonts w:hAnsi="Times New Roman" w:cs="Times New Roman"/>
              </w:rPr>
              <w:t xml:space="preserve">Naziv aktivnosti</w:t>
            </w:r>
          </w:p>
        </w:tc>
        <w:tc>
          <w:tcPr>
            <w:tcW w:w="2041.2" w:type="dxa"/>
            <w:vAlign w:val="center"/>
            <w:shd w:val="clear" w:color="auto" w:fill="b5c0d8"/>
          </w:tcPr>
          <w:p>
            <w:pPr>
              <w:jc w:val="center"/>
              <w:pStyle w:val="CellHeader"/>
            </w:pPr>
            <w:r>
              <w:rPr>
                <w:rFonts w:hAnsi="Times New Roman" w:cs="Times New Roman"/>
              </w:rPr>
              <w:t xml:space="preserve">Izvršenje 2024. (eur)</w:t>
            </w:r>
          </w:p>
        </w:tc>
        <w:tc>
          <w:tcPr>
            <w:tcW w:w="2041.2" w:type="dxa"/>
            <w:vAlign w:val="center"/>
            <w:shd w:val="clear" w:color="auto" w:fill="b5c0d8"/>
          </w:tcPr>
          <w:p>
            <w:pPr>
              <w:jc w:val="center"/>
              <w:pStyle w:val="CellHeader"/>
            </w:pPr>
            <w:r>
              <w:rPr>
                <w:rFonts w:hAnsi="Times New Roman" w:cs="Times New Roman"/>
              </w:rPr>
              <w:t xml:space="preserve">Plan 2025. (eur)</w:t>
            </w:r>
          </w:p>
        </w:tc>
        <w:tc>
          <w:tcPr>
            <w:tcW w:w="2041.2" w:type="dxa"/>
            <w:vAlign w:val="center"/>
            <w:shd w:val="clear" w:color="auto" w:fill="b5c0d8"/>
          </w:tcPr>
          <w:p>
            <w:pPr>
              <w:jc w:val="center"/>
              <w:pStyle w:val="CellHeader"/>
            </w:pPr>
            <w:r>
              <w:rPr>
                <w:rFonts w:hAnsi="Times New Roman" w:cs="Times New Roman"/>
              </w:rPr>
              <w:t xml:space="preserve">Izvršenje 2025. (eur)</w:t>
            </w:r>
          </w:p>
        </w:tc>
        <w:tc>
          <w:tcPr>
            <w:tcW w:w="1224.72" w:type="dxa"/>
            <w:vAlign w:val="center"/>
            <w:shd w:val="clear" w:color="auto" w:fill="b5c0d8"/>
          </w:tcPr>
          <w:p>
            <w:pPr>
              <w:jc w:val="center"/>
              <w:pStyle w:val="CellHeader"/>
            </w:pPr>
            <w:r>
              <w:rPr>
                <w:rFonts w:hAnsi="Times New Roman" w:cs="Times New Roman"/>
              </w:rPr>
              <w:t xml:space="preserve">Indeks izvršenje 2025./plan 2025.</w:t>
            </w:r>
          </w:p>
        </w:tc>
        <w:tc>
          <w:tcPr>
            <w:tcW w:w="1224.72" w:type="dxa"/>
            <w:vAlign w:val="center"/>
            <w:shd w:val="clear" w:color="auto" w:fill="b5c0d8"/>
          </w:tcPr>
          <w:p>
            <w:pPr>
              <w:jc w:val="center"/>
              <w:pStyle w:val="CellHeader"/>
            </w:pPr>
            <w:r>
              <w:rPr>
                <w:rFonts w:hAnsi="Times New Roman" w:cs="Times New Roman"/>
              </w:rPr>
              <w:t xml:space="preserve">Indeks izvršenje 2025./2024.</w:t>
            </w:r>
          </w:p>
        </w:tc>
      </w:tr>
      <w:tr>
        <w:trPr>
          <w:cantSplit/>
        </w:trPr>
        <w:tc>
          <w:tcPr>
            <w:tcW w:w="1632.96" w:type="dxa"/>
            <w:vAlign w:val="center"/>
          </w:tcPr>
          <w:p>
            <w:pPr>
              <w:jc w:val="left"/>
              <w:pStyle w:val="CellColumn"/>
            </w:pPr>
            <w:r>
              <w:rPr>
                <w:rFonts w:hAnsi="Times New Roman" w:cs="Times New Roman"/>
              </w:rPr>
              <w:t xml:space="preserve">A841005-TEHNIČKA POMOĆ - PROGRAM RURALNOG RAZVOJA</w:t>
            </w:r>
          </w:p>
        </w:tc>
        <w:tc>
          <w:tcPr>
            <w:tcW w:w="2041.2" w:type="dxa"/>
            <w:vAlign w:val="center"/>
          </w:tcPr>
          <w:p>
            <w:pPr>
              <w:jc w:val="right"/>
              <w:pStyle w:val="CellColumn"/>
            </w:pPr>
            <w:r>
              <w:rPr>
                <w:rFonts w:hAnsi="Times New Roman" w:cs="Times New Roman"/>
              </w:rPr>
              <w:t xml:space="preserve">14.287.416</w:t>
            </w:r>
          </w:p>
        </w:tc>
        <w:tc>
          <w:tcPr>
            <w:tcW w:w="2041.2" w:type="dxa"/>
            <w:vAlign w:val="center"/>
          </w:tcPr>
          <w:p>
            <w:pPr>
              <w:jc w:val="right"/>
              <w:pStyle w:val="CellColumn"/>
            </w:pPr>
            <w:r>
              <w:rPr>
                <w:rFonts w:hAnsi="Times New Roman" w:cs="Times New Roman"/>
              </w:rPr>
              <w:t xml:space="preserve">8.328.486</w:t>
            </w:r>
          </w:p>
        </w:tc>
        <w:tc>
          <w:tcPr>
            <w:tcW w:w="2041.2" w:type="dxa"/>
            <w:vAlign w:val="center"/>
          </w:tcPr>
          <w:p>
            <w:pPr>
              <w:jc w:val="right"/>
              <w:pStyle w:val="CellColumn"/>
            </w:pPr>
            <w:r>
              <w:rPr>
                <w:rFonts w:hAnsi="Times New Roman" w:cs="Times New Roman"/>
              </w:rPr>
              <w:t xml:space="preserve">8.473.666</w:t>
            </w:r>
          </w:p>
        </w:tc>
        <w:tc>
          <w:tcPr>
            <w:tcW w:w="1224.72" w:type="dxa"/>
            <w:vAlign w:val="center"/>
          </w:tcPr>
          <w:p>
            <w:pPr>
              <w:jc w:val="right"/>
              <w:pStyle w:val="CellColumn"/>
            </w:pPr>
            <w:r>
              <w:rPr>
                <w:rFonts w:hAnsi="Times New Roman" w:cs="Times New Roman"/>
              </w:rPr>
              <w:t xml:space="preserve">101,7</w:t>
            </w:r>
          </w:p>
        </w:tc>
        <w:tc>
          <w:tcPr>
            <w:tcW w:w="1224.72" w:type="dxa"/>
            <w:vAlign w:val="center"/>
          </w:tcPr>
          <w:p>
            <w:pPr>
              <w:jc w:val="right"/>
              <w:pStyle w:val="CellColumn"/>
            </w:pPr>
            <w:r>
              <w:rPr>
                <w:rFonts w:hAnsi="Times New Roman" w:cs="Times New Roman"/>
              </w:rPr>
              <w:t xml:space="preserve">59,3</w:t>
            </w:r>
          </w:p>
        </w:tc>
      </w:tr>
    </w:tbl>
    <w:p>
      <w:pPr>
        <w:jc w:val="left"/>
      </w:pPr>
      <w:r>
        <w:rPr>
          <w:rFonts w:hAnsi="Times New Roman" w:cs="Times New Roman"/>
        </w:rPr>
        <w:t xml:space="preserve"/>
      </w:r>
    </w:p>
    <w:p>
      <w:pPr>
        <w:jc w:val="left"/>
        <w:pStyle w:val="Heading8"/>
      </w:pPr>
      <w:r>
        <w:rPr>
          <w:rFonts w:hAnsi="Times New Roman" w:cs="Times New Roman"/>
        </w:rPr>
        <w:t xml:space="preserve">Zakonske i druge pravne osnove</w:t>
      </w:r>
    </w:p>
    <w:p>
      <w:pPr>
        <w:jc w:val="both"/>
        <w:pStyle w:val="Normal"/>
      </w:pPr>
      <w:r>
        <w:rPr>
          <w:rFonts w:hAnsi="Times New Roman" w:cs="Times New Roman"/>
        </w:rPr>
        <w:t xml:space="preserve">- Sporazum o načinu provedbe mjere Tehnička pomoć unutar Programa ruralnog razvoja RH za razdoblje 2014.-
</w:t>
      </w:r>
    </w:p>
    <w:p>
      <w:pPr>
        <w:jc w:val="both"/>
        <w:pStyle w:val="Normal"/>
      </w:pPr>
      <w:r>
        <w:rPr>
          <w:rFonts w:hAnsi="Times New Roman" w:cs="Times New Roman"/>
        </w:rPr>
        <w:t xml:space="preserve">2020 (KLASA:320-01/15-01/179);
</w:t>
      </w:r>
    </w:p>
    <w:p>
      <w:pPr>
        <w:jc w:val="both"/>
        <w:pStyle w:val="Normal"/>
      </w:pPr>
      <w:r>
        <w:rPr>
          <w:rFonts w:hAnsi="Times New Roman" w:cs="Times New Roman"/>
        </w:rPr>
        <w:t xml:space="preserve">- Program ruralnog razvoja 2014.-2020.</w:t>
      </w:r>
    </w:p>
    <w:p>
      <w:pPr>
        <w:jc w:val="left"/>
        <w:pStyle w:val="Heading8"/>
      </w:pPr>
      <w:r>
        <w:rPr>
          <w:rFonts w:hAnsi="Times New Roman" w:cs="Times New Roman"/>
        </w:rPr>
        <w:t xml:space="preserve">Opis aktivnosti</w:t>
      </w:r>
    </w:p>
    <w:p>
      <w:pPr>
        <w:jc w:val="both"/>
        <w:pStyle w:val="Normal"/>
      </w:pPr>
      <w:r>
        <w:rPr>
          <w:rFonts w:hAnsi="Times New Roman" w:cs="Times New Roman"/>
        </w:rPr>
        <w:t xml:space="preserve">Vremenski okvir za završetak korištenja TP PRR bio je kraj lipnja 2025. godine, odnosno korištenje TP SPP započelo je od početka srpnja 2025. godine. 
</w:t>
      </w:r>
    </w:p>
    <w:p>
      <w:pPr>
        <w:jc w:val="both"/>
        <w:pStyle w:val="Normal"/>
      </w:pPr>
      <w:r>
        <w:rPr>
          <w:rFonts w:hAnsi="Times New Roman" w:cs="Times New Roman"/>
        </w:rPr>
        <w:t xml:space="preserve">U  2025.g. APPRRR provela je aktivnosti koje su direktno povezane sa provedbom programa ruralnog razvoja kroz mjeru Tehničke pomoći unutar PRR RH za razdoblje 2014.-2020.  Aktivnosti se odnose na:
</w:t>
      </w:r>
    </w:p>
    <w:p>
      <w:pPr>
        <w:jc w:val="both"/>
        <w:pStyle w:val="Normal"/>
      </w:pPr>
      <w:r>
        <w:rPr>
          <w:rFonts w:hAnsi="Times New Roman" w:cs="Times New Roman"/>
        </w:rPr>
        <w:t xml:space="preserve">- Učinkovita provedba i praćenje Programa, uključujući osnivanje odgovarajućeg sigurnog informacijskog sustava
</w:t>
      </w:r>
    </w:p>
    <w:p>
      <w:pPr>
        <w:jc w:val="both"/>
        <w:pStyle w:val="Normal"/>
      </w:pPr>
      <w:r>
        <w:rPr>
          <w:rFonts w:hAnsi="Times New Roman" w:cs="Times New Roman"/>
        </w:rPr>
        <w:t xml:space="preserve">- Jačanje administrativnih kapaciteta Agencije za plaćanja kroz aktivnosti usmjerene na edukaciju zaposlenika
</w:t>
      </w:r>
    </w:p>
    <w:p>
      <w:pPr>
        <w:jc w:val="both"/>
        <w:pStyle w:val="Normal"/>
      </w:pPr>
      <w:r>
        <w:rPr>
          <w:rFonts w:hAnsi="Times New Roman" w:cs="Times New Roman"/>
        </w:rPr>
        <w:t xml:space="preserve">  Agencije a koje uključuju treninge, seminare i studijska putovanja
</w:t>
      </w:r>
    </w:p>
    <w:p>
      <w:pPr>
        <w:jc w:val="both"/>
        <w:pStyle w:val="Normal"/>
      </w:pPr>
      <w:r>
        <w:rPr>
          <w:rFonts w:hAnsi="Times New Roman" w:cs="Times New Roman"/>
        </w:rPr>
        <w:t xml:space="preserve">- Rješavanje operativnih uskih grla kod provedbe Programa ruralnog razvoja;
</w:t>
      </w:r>
    </w:p>
    <w:p>
      <w:pPr>
        <w:jc w:val="both"/>
        <w:pStyle w:val="Normal"/>
      </w:pPr>
      <w:r>
        <w:rPr>
          <w:rFonts w:hAnsi="Times New Roman" w:cs="Times New Roman"/>
        </w:rPr>
        <w:t xml:space="preserve">- Povećanje kapaciteta korisnika za pristup i korištenje PRR;
</w:t>
      </w:r>
    </w:p>
    <w:p>
      <w:pPr>
        <w:jc w:val="both"/>
        <w:pStyle w:val="Normal"/>
      </w:pPr>
      <w:r>
        <w:rPr>
          <w:rFonts w:hAnsi="Times New Roman" w:cs="Times New Roman"/>
        </w:rPr>
        <w:t xml:space="preserve">- Mjere za smanjenje administrativnog tereta korisnika.
</w:t>
      </w:r>
    </w:p>
    <w:p>
      <w:pPr>
        <w:jc w:val="both"/>
        <w:pStyle w:val="Normal"/>
      </w:pPr>
      <w:r>
        <w:rPr>
          <w:rFonts w:hAnsi="Times New Roman" w:cs="Times New Roman"/>
        </w:rPr>
        <w:t xml:space="preserve">U razdoblju od 2015. - 2025.g. godina Agenciji je iz Tehničke pomoći Mjera 20 isplaćeno ukupno 87.415.080,81 eura.</w:t>
      </w:r>
    </w:p>
    <w:p>
      <w:pPr>
        <w:jc w:val="left"/>
        <w:pStyle w:val="Heading8"/>
      </w:pPr>
      <w:r>
        <w:rPr>
          <w:rFonts w:hAnsi="Times New Roman" w:cs="Times New Roman"/>
        </w:rPr>
        <w:t xml:space="preserve">Pokazatelji rezultata</w:t>
      </w:r>
    </w:p>
    <w:tbl>
      <w:tblPr w:type="dxa">
        <w:tblStyle w:val="StilTablice"/>
        <w:tblW w:w="10206"/>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3096</w:gridCol>
        <w:gridCol>3096</w:gridCol>
        <w:gridCol>3096</w:gridCol>
        <w:gridCol>3096</w:gridCol>
        <w:gridCol>3096</w:gridCol>
        <w:gridCol>3096</w:gridCol>
        <w:gridCol>3096</w:gridCol>
      </w:tblGrid>
      <w:tr>
        <w:trPr>
          <w:cantSplit/>
        </w:trPr>
        <w:tc>
          <w:tcPr>
            <w:tcW w:w="2551.5" w:type="dxa"/>
            <w:vAlign w:val="center"/>
            <w:shd w:val="clear" w:color="auto" w:fill="b5c0d8"/>
          </w:tcPr>
          <w:p>
            <w:pPr>
              <w:jc w:val="center"/>
            </w:pPr>
            <w:r>
              <w:rPr>
                <w:rFonts w:hAnsi="Times New Roman" w:cs="Times New Roman"/>
              </w:rPr>
              <w:t xml:space="preserve">Pokazatelj rezultata</w:t>
            </w:r>
          </w:p>
        </w:tc>
        <w:tc>
          <w:tcPr>
            <w:tcW w:w="2551.5" w:type="dxa"/>
            <w:vAlign w:val="center"/>
            <w:shd w:val="clear" w:color="auto" w:fill="b5c0d8"/>
          </w:tcPr>
          <w:p>
            <w:pPr>
              <w:jc w:val="center"/>
              <w:pStyle w:val="CellHeader"/>
            </w:pPr>
            <w:r>
              <w:rPr>
                <w:rFonts w:hAnsi="Times New Roman" w:cs="Times New Roman"/>
              </w:rPr>
              <w:t xml:space="preserve">Definicija</w:t>
            </w:r>
          </w:p>
        </w:tc>
        <w:tc>
          <w:tcPr>
            <w:tcW w:w="1020.6" w:type="dxa"/>
            <w:vAlign w:val="center"/>
            <w:shd w:val="clear" w:color="auto" w:fill="b5c0d8"/>
          </w:tcPr>
          <w:p>
            <w:pPr>
              <w:jc w:val="center"/>
              <w:pStyle w:val="CellHeader"/>
            </w:pPr>
            <w:r>
              <w:rPr>
                <w:rFonts w:hAnsi="Times New Roman" w:cs="Times New Roman"/>
              </w:rPr>
              <w:t xml:space="preserve">Jedinica</w:t>
            </w:r>
          </w:p>
        </w:tc>
        <w:tc>
          <w:tcPr>
            <w:tcW w:w="1020.6" w:type="dxa"/>
            <w:vAlign w:val="center"/>
            <w:shd w:val="clear" w:color="auto" w:fill="b5c0d8"/>
          </w:tcPr>
          <w:p>
            <w:pPr>
              <w:jc w:val="center"/>
              <w:pStyle w:val="CellHeader"/>
            </w:pPr>
            <w:r>
              <w:rPr>
                <w:rFonts w:hAnsi="Times New Roman" w:cs="Times New Roman"/>
              </w:rPr>
              <w:t xml:space="preserve">Polazna vrijednost</w:t>
            </w:r>
          </w:p>
        </w:tc>
        <w:tc>
          <w:tcPr>
            <w:tcW w:w="1020.6" w:type="dxa"/>
            <w:vAlign w:val="center"/>
            <w:shd w:val="clear" w:color="auto" w:fill="b5c0d8"/>
          </w:tcPr>
          <w:p>
            <w:pPr>
              <w:jc w:val="center"/>
              <w:pStyle w:val="CellHeader"/>
            </w:pPr>
            <w:r>
              <w:rPr>
                <w:rFonts w:hAnsi="Times New Roman" w:cs="Times New Roman"/>
              </w:rPr>
              <w:t xml:space="preserve">Izvor podataka</w:t>
            </w:r>
          </w:p>
        </w:tc>
        <w:tc>
          <w:tcPr>
            <w:tcW w:w="1020.6" w:type="dxa"/>
            <w:vAlign w:val="center"/>
            <w:shd w:val="clear" w:color="auto" w:fill="b5c0d8"/>
          </w:tcPr>
          <w:p>
            <w:pPr>
              <w:jc w:val="center"/>
              <w:pStyle w:val="CellHeader"/>
            </w:pPr>
            <w:r>
              <w:rPr>
                <w:rFonts w:hAnsi="Times New Roman" w:cs="Times New Roman"/>
              </w:rPr>
              <w:t xml:space="preserve">Ciljana vrijednost (2025.)</w:t>
            </w:r>
          </w:p>
        </w:tc>
        <w:tc>
          <w:tcPr>
            <w:tcW w:w="1020.6" w:type="dxa"/>
            <w:vAlign w:val="center"/>
            <w:shd w:val="clear" w:color="auto" w:fill="b5c0d8"/>
          </w:tcPr>
          <w:p>
            <w:pPr>
              <w:jc w:val="center"/>
              <w:pStyle w:val="CellHeader"/>
            </w:pPr>
            <w:r>
              <w:rPr>
                <w:rFonts w:hAnsi="Times New Roman" w:cs="Times New Roman"/>
              </w:rPr>
              <w:t xml:space="preserve">Ostvarena vrijednost (2025.)</w:t>
            </w:r>
          </w:p>
        </w:tc>
      </w:tr>
      <w:tr>
        <w:trPr>
          <w:cantSplit/>
        </w:trPr>
        <w:tc>
          <w:tcPr>
            <w:tcW w:w="2551.5" w:type="dxa"/>
            <w:vAlign w:val="center"/>
          </w:tcPr>
          <w:p>
            <w:pPr>
              <w:jc w:val="left"/>
              <w:pStyle w:val="CellColumn"/>
            </w:pPr>
            <w:r>
              <w:rPr>
                <w:rFonts w:hAnsi="Times New Roman" w:cs="Times New Roman"/>
              </w:rPr>
              <w:t xml:space="preserve">Postotak izvršenja planiranog PRR RH 2014-2020</w:t>
            </w:r>
          </w:p>
        </w:tc>
        <w:tc>
          <w:tcPr>
            <w:tcW w:w="2551.5" w:type="dxa"/>
            <w:vAlign w:val="center"/>
          </w:tcPr>
          <w:p>
            <w:pPr>
              <w:jc w:val="left"/>
              <w:pStyle w:val="CellColumn"/>
            </w:pPr>
            <w:r>
              <w:rPr>
                <w:rFonts w:hAnsi="Times New Roman" w:cs="Times New Roman"/>
              </w:rPr>
              <w:t xml:space="preserve">Iskorištena sredstva u odnosu na godišnji plan</w:t>
            </w:r>
          </w:p>
        </w:tc>
        <w:tc>
          <w:tcPr>
            <w:tcW w:w="1020.6" w:type="dxa"/>
            <w:vAlign w:val="center"/>
          </w:tcPr>
          <w:p>
            <w:pPr>
              <w:jc w:val="right"/>
              <w:pStyle w:val="CellColumn"/>
            </w:pPr>
            <w:r>
              <w:rPr>
                <w:rFonts w:hAnsi="Times New Roman" w:cs="Times New Roman"/>
              </w:rPr>
              <w:t xml:space="preserve">%</w:t>
            </w:r>
          </w:p>
        </w:tc>
        <w:tc>
          <w:tcPr>
            <w:tcW w:w="1020.6" w:type="dxa"/>
            <w:vAlign w:val="center"/>
          </w:tcPr>
          <w:p>
            <w:pPr>
              <w:jc w:val="right"/>
              <w:pStyle w:val="CellColumn"/>
            </w:pPr>
            <w:r>
              <w:rPr>
                <w:rFonts w:hAnsi="Times New Roman" w:cs="Times New Roman"/>
              </w:rPr>
              <w:t xml:space="preserve">70,25</w:t>
            </w:r>
          </w:p>
        </w:tc>
        <w:tc>
          <w:tcPr>
            <w:tcW w:w="1020.6" w:type="dxa"/>
            <w:vAlign w:val="center"/>
          </w:tcPr>
          <w:p>
            <w:pPr>
              <w:jc w:val="right"/>
              <w:pStyle w:val="CellColumn"/>
            </w:pPr>
            <w:r>
              <w:rPr>
                <w:rFonts w:hAnsi="Times New Roman" w:cs="Times New Roman"/>
              </w:rPr>
              <w:t xml:space="preserve">APPRRR</w:t>
            </w:r>
          </w:p>
        </w:tc>
        <w:tc>
          <w:tcPr>
            <w:tcW w:w="1020.6" w:type="dxa"/>
            <w:vAlign w:val="center"/>
          </w:tcPr>
          <w:p>
            <w:pPr>
              <w:jc w:val="right"/>
              <w:pStyle w:val="CellColumn"/>
            </w:pPr>
            <w:r>
              <w:rPr>
                <w:rFonts w:hAnsi="Times New Roman" w:cs="Times New Roman"/>
              </w:rPr>
              <w:t xml:space="preserve">100</w:t>
            </w:r>
          </w:p>
        </w:tc>
        <w:tc>
          <w:tcPr>
            <w:tcW w:w="1020.6" w:type="dxa"/>
            <w:vAlign w:val="center"/>
          </w:tcPr>
          <w:p>
            <w:pPr>
              <w:jc w:val="right"/>
              <w:pStyle w:val="CellColumn"/>
            </w:pPr>
            <w:r>
              <w:rPr>
                <w:rFonts w:hAnsi="Times New Roman" w:cs="Times New Roman"/>
              </w:rPr>
              <w:t xml:space="preserve">100</w:t>
            </w:r>
          </w:p>
        </w:tc>
      </w:tr>
    </w:tbl>
    <w:p>
      <w:pPr>
        <w:jc w:val="left"/>
      </w:pPr>
      <w:r>
        <w:rPr>
          <w:rFonts w:hAnsi="Times New Roman" w:cs="Times New Roman"/>
        </w:rPr>
        <w:t xml:space="preserve"/>
      </w:r>
    </w:p>
    <w:p>
      <w:pPr>
        <w:jc w:val="left"/>
        <w:pStyle w:val="Heading4"/>
      </w:pPr>
      <w:r>
        <w:rPr>
          <w:rFonts w:hAnsi="Times New Roman" w:cs="Times New Roman"/>
        </w:rPr>
        <w:t xml:space="preserve">A841011 TEHNIČKA POMOĆ - SP ZPP 2023.-2027.</w:t>
      </w:r>
    </w:p>
    <w:tbl>
      <w:tblPr w:type="dxa">
        <w:tblStyle w:val="StilTablice"/>
        <w:tblW w:w="10206"/>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3096</w:gridCol>
        <w:gridCol>3096</w:gridCol>
        <w:gridCol>3096</w:gridCol>
        <w:gridCol>3096</w:gridCol>
        <w:gridCol>3096</w:gridCol>
        <w:gridCol>3096</w:gridCol>
      </w:tblGrid>
      <w:tr>
        <w:trPr>
          <w:cantSplit/>
        </w:trPr>
        <w:tc>
          <w:tcPr>
            <w:tcW w:w="1632.96" w:type="dxa"/>
            <w:vAlign w:val="center"/>
            <w:shd w:val="clear" w:color="auto" w:fill="b5c0d8"/>
          </w:tcPr>
          <w:p>
            <w:pPr>
              <w:jc w:val="center"/>
              <w:pStyle w:val="CellHeader"/>
            </w:pPr>
            <w:r>
              <w:rPr>
                <w:rFonts w:hAnsi="Times New Roman" w:cs="Times New Roman"/>
              </w:rPr>
              <w:t xml:space="preserve">Naziv aktivnosti</w:t>
            </w:r>
          </w:p>
        </w:tc>
        <w:tc>
          <w:tcPr>
            <w:tcW w:w="2041.2" w:type="dxa"/>
            <w:vAlign w:val="center"/>
            <w:shd w:val="clear" w:color="auto" w:fill="b5c0d8"/>
          </w:tcPr>
          <w:p>
            <w:pPr>
              <w:jc w:val="center"/>
              <w:pStyle w:val="CellHeader"/>
            </w:pPr>
            <w:r>
              <w:rPr>
                <w:rFonts w:hAnsi="Times New Roman" w:cs="Times New Roman"/>
              </w:rPr>
              <w:t xml:space="preserve">Izvršenje 2024. (eur)</w:t>
            </w:r>
          </w:p>
        </w:tc>
        <w:tc>
          <w:tcPr>
            <w:tcW w:w="2041.2" w:type="dxa"/>
            <w:vAlign w:val="center"/>
            <w:shd w:val="clear" w:color="auto" w:fill="b5c0d8"/>
          </w:tcPr>
          <w:p>
            <w:pPr>
              <w:jc w:val="center"/>
              <w:pStyle w:val="CellHeader"/>
            </w:pPr>
            <w:r>
              <w:rPr>
                <w:rFonts w:hAnsi="Times New Roman" w:cs="Times New Roman"/>
              </w:rPr>
              <w:t xml:space="preserve">Plan 2025. (eur)</w:t>
            </w:r>
          </w:p>
        </w:tc>
        <w:tc>
          <w:tcPr>
            <w:tcW w:w="2041.2" w:type="dxa"/>
            <w:vAlign w:val="center"/>
            <w:shd w:val="clear" w:color="auto" w:fill="b5c0d8"/>
          </w:tcPr>
          <w:p>
            <w:pPr>
              <w:jc w:val="center"/>
              <w:pStyle w:val="CellHeader"/>
            </w:pPr>
            <w:r>
              <w:rPr>
                <w:rFonts w:hAnsi="Times New Roman" w:cs="Times New Roman"/>
              </w:rPr>
              <w:t xml:space="preserve">Izvršenje 2025. (eur)</w:t>
            </w:r>
          </w:p>
        </w:tc>
        <w:tc>
          <w:tcPr>
            <w:tcW w:w="1224.72" w:type="dxa"/>
            <w:vAlign w:val="center"/>
            <w:shd w:val="clear" w:color="auto" w:fill="b5c0d8"/>
          </w:tcPr>
          <w:p>
            <w:pPr>
              <w:jc w:val="center"/>
              <w:pStyle w:val="CellHeader"/>
            </w:pPr>
            <w:r>
              <w:rPr>
                <w:rFonts w:hAnsi="Times New Roman" w:cs="Times New Roman"/>
              </w:rPr>
              <w:t xml:space="preserve">Indeks izvršenje 2025./plan 2025.</w:t>
            </w:r>
          </w:p>
        </w:tc>
        <w:tc>
          <w:tcPr>
            <w:tcW w:w="1224.72" w:type="dxa"/>
            <w:vAlign w:val="center"/>
            <w:shd w:val="clear" w:color="auto" w:fill="b5c0d8"/>
          </w:tcPr>
          <w:p>
            <w:pPr>
              <w:jc w:val="center"/>
              <w:pStyle w:val="CellHeader"/>
            </w:pPr>
            <w:r>
              <w:rPr>
                <w:rFonts w:hAnsi="Times New Roman" w:cs="Times New Roman"/>
              </w:rPr>
              <w:t xml:space="preserve">Indeks izvršenje 2025./2024.</w:t>
            </w:r>
          </w:p>
        </w:tc>
      </w:tr>
      <w:tr>
        <w:trPr>
          <w:cantSplit/>
        </w:trPr>
        <w:tc>
          <w:tcPr>
            <w:tcW w:w="1632.96" w:type="dxa"/>
            <w:vAlign w:val="center"/>
          </w:tcPr>
          <w:p>
            <w:pPr>
              <w:jc w:val="left"/>
              <w:pStyle w:val="CellColumn"/>
            </w:pPr>
            <w:r>
              <w:rPr>
                <w:rFonts w:hAnsi="Times New Roman" w:cs="Times New Roman"/>
              </w:rPr>
              <w:t xml:space="preserve">A841011-TEHNIČKA POMOĆ - SP ZPP 2023.-2027.</w:t>
            </w:r>
          </w:p>
        </w:tc>
        <w:tc>
          <w:tcPr>
            <w:tcW w:w="2041.2" w:type="dxa"/>
            <w:vAlign w:val="center"/>
          </w:tcPr>
          <w:p>
            <w:pPr>
              <w:jc w:val="right"/>
              <w:pStyle w:val="CellColumn"/>
            </w:pPr>
            <w:r>
              <w:rPr>
                <w:rFonts w:hAnsi="Times New Roman" w:cs="Times New Roman"/>
              </w:rPr>
              <w:t xml:space="preserve">00</w:t>
            </w:r>
          </w:p>
        </w:tc>
        <w:tc>
          <w:tcPr>
            <w:tcW w:w="2041.2" w:type="dxa"/>
            <w:vAlign w:val="center"/>
          </w:tcPr>
          <w:p>
            <w:pPr>
              <w:jc w:val="right"/>
              <w:pStyle w:val="CellColumn"/>
            </w:pPr>
            <w:r>
              <w:rPr>
                <w:rFonts w:hAnsi="Times New Roman" w:cs="Times New Roman"/>
              </w:rPr>
              <w:t xml:space="preserve">3.891.800</w:t>
            </w:r>
          </w:p>
        </w:tc>
        <w:tc>
          <w:tcPr>
            <w:tcW w:w="2041.2" w:type="dxa"/>
            <w:vAlign w:val="center"/>
          </w:tcPr>
          <w:p>
            <w:pPr>
              <w:jc w:val="right"/>
              <w:pStyle w:val="CellColumn"/>
            </w:pPr>
            <w:r>
              <w:rPr>
                <w:rFonts w:hAnsi="Times New Roman" w:cs="Times New Roman"/>
              </w:rPr>
              <w:t xml:space="preserve">3.262.060</w:t>
            </w:r>
          </w:p>
        </w:tc>
        <w:tc>
          <w:tcPr>
            <w:tcW w:w="1224.72" w:type="dxa"/>
            <w:vAlign w:val="center"/>
          </w:tcPr>
          <w:p>
            <w:pPr>
              <w:jc w:val="right"/>
              <w:pStyle w:val="CellColumn"/>
            </w:pPr>
            <w:r>
              <w:rPr>
                <w:rFonts w:hAnsi="Times New Roman" w:cs="Times New Roman"/>
              </w:rPr>
              <w:t xml:space="preserve">83,8</w:t>
            </w:r>
          </w:p>
        </w:tc>
        <w:tc>
          <w:tcPr>
            <w:tcW w:w="1224.72" w:type="dxa"/>
            <w:vAlign w:val="center"/>
          </w:tcPr>
          <w:p>
            <w:pPr>
              <w:jc w:val="right"/>
              <w:pStyle w:val="CellColumn"/>
            </w:pPr>
            <w:r>
              <w:rPr>
                <w:rFonts w:hAnsi="Times New Roman" w:cs="Times New Roman"/>
              </w:rPr>
              <w:t xml:space="preserve">0,0</w:t>
            </w:r>
          </w:p>
        </w:tc>
      </w:tr>
    </w:tbl>
    <w:p>
      <w:pPr>
        <w:jc w:val="left"/>
      </w:pPr>
      <w:r>
        <w:rPr>
          <w:rFonts w:hAnsi="Times New Roman" w:cs="Times New Roman"/>
        </w:rPr>
        <w:t xml:space="preserve"/>
      </w:r>
    </w:p>
    <w:p>
      <w:pPr>
        <w:jc w:val="left"/>
        <w:pStyle w:val="Heading8"/>
      </w:pPr>
      <w:r>
        <w:rPr>
          <w:rFonts w:hAnsi="Times New Roman" w:cs="Times New Roman"/>
        </w:rPr>
        <w:t xml:space="preserve">Zakonske i druge pravne osnove</w:t>
      </w:r>
    </w:p>
    <w:p>
      <w:pPr>
        <w:jc w:val="both"/>
        <w:pStyle w:val="Normal"/>
      </w:pPr>
      <w:r>
        <w:rPr>
          <w:rFonts w:hAnsi="Times New Roman" w:cs="Times New Roman"/>
        </w:rPr>
        <w:t xml:space="preserve">Strateški plan Zajedičke poljoprivredne politike republike Hrvatske 2023-2030</w:t>
      </w:r>
    </w:p>
    <w:p>
      <w:pPr>
        <w:jc w:val="left"/>
        <w:pStyle w:val="Heading8"/>
      </w:pPr>
      <w:r>
        <w:rPr>
          <w:rFonts w:hAnsi="Times New Roman" w:cs="Times New Roman"/>
        </w:rPr>
        <w:t xml:space="preserve">Opis aktivnosti</w:t>
      </w:r>
    </w:p>
    <w:p>
      <w:pPr>
        <w:jc w:val="both"/>
        <w:pStyle w:val="Normal"/>
      </w:pPr>
      <w:r>
        <w:rPr>
          <w:rFonts w:hAnsi="Times New Roman" w:cs="Times New Roman"/>
        </w:rPr>
        <w:t xml:space="preserve">Cilj ispunjavanja planiranih aktivnosti provedbe Tehničke pomoći (TP), odnosno širokog raspona aktivnosti povezanih s intervencijama u području poljoprivrede i ruralnog razvoja, jest jačanje kapaciteta za provedbu SP ZPP-a, uključujući i rješavanje prigovora, unaprjeđenje funkcionalnosti elektroničkoginformacijskog sustava za mjerenje uspješnosti provedbe SP ZPP (podrazumijeva poboljšanje provedbe, praćenja, vrednovanja), informiranje i komunikacija, smanjenje administrativnog opterećenja za korisnike i sustav te uspostava i rad Nacionalne mreže Zajedničke poljoprivredne politike uključujući i aktivnosti prijenosa znanja i inovacija u poljoprivredi unutar sustava znanja i inovacija u poljoprivredi (AKIS).
</w:t>
      </w:r>
    </w:p>
    <w:p>
      <w:pPr>
        <w:jc w:val="both"/>
        <w:pStyle w:val="Normal"/>
      </w:pPr>
      <w:r>
        <w:rPr>
          <w:rFonts w:hAnsi="Times New Roman" w:cs="Times New Roman"/>
        </w:rPr>
        <w:t xml:space="preserve">Navedeni sustav provedbe SP ZPP-a omogućit će Agenciji za plaćanja u poljoprivredi, ribarstvu i ruralnom razvoju transparentno informiranje i dodjelu sredstava korisnicima, a sve u skladu s aktivnostima iz nacionalne Strategije sprečavanja korupcije za razdoblje od 2021. do 2030. čija je provedba u nadležnosti svih državnih tijela.
</w:t>
      </w:r>
    </w:p>
    <w:p>
      <w:pPr>
        <w:jc w:val="both"/>
        <w:pStyle w:val="Normal"/>
      </w:pPr>
      <w:r>
        <w:rPr>
          <w:rFonts w:hAnsi="Times New Roman" w:cs="Times New Roman"/>
        </w:rPr>
        <w:t xml:space="preserve">Predviđena su sredstva za aktivnosti TP u iznosu od maksimalno 4% ukupnog doprinosa iz EPFRR-a za 
</w:t>
      </w:r>
    </w:p>
    <w:p>
      <w:pPr>
        <w:jc w:val="both"/>
        <w:pStyle w:val="Normal"/>
      </w:pPr>
      <w:r>
        <w:rPr>
          <w:rFonts w:hAnsi="Times New Roman" w:cs="Times New Roman"/>
        </w:rPr>
        <w:t xml:space="preserve">strateški plan u okviru ZPP-a.
</w:t>
      </w:r>
    </w:p>
    <w:p>
      <w:pPr>
        <w:jc w:val="both"/>
        <w:pStyle w:val="Normal"/>
      </w:pPr>
      <w:r>
        <w:rPr>
          <w:rFonts w:hAnsi="Times New Roman" w:cs="Times New Roman"/>
        </w:rPr>
        <w:t xml:space="preserve">Od početka srpnja 2025.g. RH se odlučila na korištenje TP iz SP ZPP na 100% EAFRD sredstva, bez nacionalnog sufinanciranja. Prema odobrenom SP ZPP RH 2023.-2027., stopa (flat rate) za TP u SP ZPP RH iznosi 3,43% (50 mil. EUR) i obračunavat će se na svaku izjavu o rashodima koju RH podnese prema EK. Od 2025. godine Tehnička pomoć će se financirati prema stopi od 4%.
</w:t>
      </w:r>
    </w:p>
    <w:p>
      <w:pPr>
        <w:jc w:val="both"/>
        <w:pStyle w:val="Normal"/>
      </w:pPr>
      <w:r>
        <w:rPr>
          <w:rFonts w:hAnsi="Times New Roman" w:cs="Times New Roman"/>
        </w:rPr>
        <w:t xml:space="preserve">Prema trenutnim projekcijama tih 50 mil. EUR TP SP ZPP (100% EAFRD) za cijelo programsko razdoblje dostatno je samo za plaće korisnika AP /UT/Mreža te će biti nužno dio troškova koje se niz godina financirao iz TP plaćati iz drugih izvora Državnog proračuna.
</w:t>
      </w:r>
    </w:p>
    <w:p>
      <w:pPr>
        <w:jc w:val="both"/>
        <w:pStyle w:val="Normal"/>
      </w:pPr>
      <w:r>
        <w:rPr>
          <w:rFonts w:hAnsi="Times New Roman" w:cs="Times New Roman"/>
        </w:rPr>
        <w:t xml:space="preserve">U Agenciji su planirani  rashodi za zaposlene za 240 radnika. Od planiranih sredstava, Agencija je u razdoblju od 01.07. do 31.12.2025.g. realizirala 83,82%.</w:t>
      </w:r>
    </w:p>
    <w:p>
      <w:pPr>
        <w:jc w:val="left"/>
        <w:pStyle w:val="Heading8"/>
      </w:pPr>
      <w:r>
        <w:rPr>
          <w:rFonts w:hAnsi="Times New Roman" w:cs="Times New Roman"/>
        </w:rPr>
        <w:t xml:space="preserve">Pokazatelji rezultata</w:t>
      </w:r>
    </w:p>
    <w:tbl>
      <w:tblPr w:type="dxa">
        <w:tblStyle w:val="StilTablice"/>
        <w:tblW w:w="10206"/>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3096</w:gridCol>
        <w:gridCol>3096</w:gridCol>
        <w:gridCol>3096</w:gridCol>
        <w:gridCol>3096</w:gridCol>
        <w:gridCol>3096</w:gridCol>
        <w:gridCol>3096</w:gridCol>
        <w:gridCol>3096</w:gridCol>
      </w:tblGrid>
      <w:tr>
        <w:trPr>
          <w:cantSplit/>
        </w:trPr>
        <w:tc>
          <w:tcPr>
            <w:tcW w:w="2551.5" w:type="dxa"/>
            <w:vAlign w:val="center"/>
            <w:shd w:val="clear" w:color="auto" w:fill="b5c0d8"/>
          </w:tcPr>
          <w:p>
            <w:pPr>
              <w:jc w:val="center"/>
            </w:pPr>
            <w:r>
              <w:rPr>
                <w:rFonts w:hAnsi="Times New Roman" w:cs="Times New Roman"/>
              </w:rPr>
              <w:t xml:space="preserve">Pokazatelj rezultata</w:t>
            </w:r>
          </w:p>
        </w:tc>
        <w:tc>
          <w:tcPr>
            <w:tcW w:w="2551.5" w:type="dxa"/>
            <w:vAlign w:val="center"/>
            <w:shd w:val="clear" w:color="auto" w:fill="b5c0d8"/>
          </w:tcPr>
          <w:p>
            <w:pPr>
              <w:jc w:val="center"/>
              <w:pStyle w:val="CellHeader"/>
            </w:pPr>
            <w:r>
              <w:rPr>
                <w:rFonts w:hAnsi="Times New Roman" w:cs="Times New Roman"/>
              </w:rPr>
              <w:t xml:space="preserve">Definicija</w:t>
            </w:r>
          </w:p>
        </w:tc>
        <w:tc>
          <w:tcPr>
            <w:tcW w:w="1020.6" w:type="dxa"/>
            <w:vAlign w:val="center"/>
            <w:shd w:val="clear" w:color="auto" w:fill="b5c0d8"/>
          </w:tcPr>
          <w:p>
            <w:pPr>
              <w:jc w:val="center"/>
              <w:pStyle w:val="CellHeader"/>
            </w:pPr>
            <w:r>
              <w:rPr>
                <w:rFonts w:hAnsi="Times New Roman" w:cs="Times New Roman"/>
              </w:rPr>
              <w:t xml:space="preserve">Jedinica</w:t>
            </w:r>
          </w:p>
        </w:tc>
        <w:tc>
          <w:tcPr>
            <w:tcW w:w="1020.6" w:type="dxa"/>
            <w:vAlign w:val="center"/>
            <w:shd w:val="clear" w:color="auto" w:fill="b5c0d8"/>
          </w:tcPr>
          <w:p>
            <w:pPr>
              <w:jc w:val="center"/>
              <w:pStyle w:val="CellHeader"/>
            </w:pPr>
            <w:r>
              <w:rPr>
                <w:rFonts w:hAnsi="Times New Roman" w:cs="Times New Roman"/>
              </w:rPr>
              <w:t xml:space="preserve">Polazna vrijednost</w:t>
            </w:r>
          </w:p>
        </w:tc>
        <w:tc>
          <w:tcPr>
            <w:tcW w:w="1020.6" w:type="dxa"/>
            <w:vAlign w:val="center"/>
            <w:shd w:val="clear" w:color="auto" w:fill="b5c0d8"/>
          </w:tcPr>
          <w:p>
            <w:pPr>
              <w:jc w:val="center"/>
              <w:pStyle w:val="CellHeader"/>
            </w:pPr>
            <w:r>
              <w:rPr>
                <w:rFonts w:hAnsi="Times New Roman" w:cs="Times New Roman"/>
              </w:rPr>
              <w:t xml:space="preserve">Izvor podataka</w:t>
            </w:r>
          </w:p>
        </w:tc>
        <w:tc>
          <w:tcPr>
            <w:tcW w:w="1020.6" w:type="dxa"/>
            <w:vAlign w:val="center"/>
            <w:shd w:val="clear" w:color="auto" w:fill="b5c0d8"/>
          </w:tcPr>
          <w:p>
            <w:pPr>
              <w:jc w:val="center"/>
              <w:pStyle w:val="CellHeader"/>
            </w:pPr>
            <w:r>
              <w:rPr>
                <w:rFonts w:hAnsi="Times New Roman" w:cs="Times New Roman"/>
              </w:rPr>
              <w:t xml:space="preserve">Ciljana vrijednost (2025.)</w:t>
            </w:r>
          </w:p>
        </w:tc>
        <w:tc>
          <w:tcPr>
            <w:tcW w:w="1020.6" w:type="dxa"/>
            <w:vAlign w:val="center"/>
            <w:shd w:val="clear" w:color="auto" w:fill="b5c0d8"/>
          </w:tcPr>
          <w:p>
            <w:pPr>
              <w:jc w:val="center"/>
              <w:pStyle w:val="CellHeader"/>
            </w:pPr>
            <w:r>
              <w:rPr>
                <w:rFonts w:hAnsi="Times New Roman" w:cs="Times New Roman"/>
              </w:rPr>
              <w:t xml:space="preserve">Ostvarena vrijednost (2025.)</w:t>
            </w:r>
          </w:p>
        </w:tc>
      </w:tr>
      <w:tr>
        <w:trPr>
          <w:cantSplit/>
        </w:trPr>
        <w:tc>
          <w:tcPr>
            <w:tcW w:w="2551.5" w:type="dxa"/>
            <w:vAlign w:val="center"/>
          </w:tcPr>
          <w:p>
            <w:pPr>
              <w:jc w:val="left"/>
              <w:pStyle w:val="CellColumn"/>
            </w:pPr>
            <w:r>
              <w:rPr>
                <w:rFonts w:hAnsi="Times New Roman" w:cs="Times New Roman"/>
              </w:rPr>
              <w:t xml:space="preserve">Postotak izvršenja planiranih SP ZPP 2023-2027</w:t>
            </w:r>
          </w:p>
        </w:tc>
        <w:tc>
          <w:tcPr>
            <w:tcW w:w="2551.5" w:type="dxa"/>
            <w:vAlign w:val="center"/>
          </w:tcPr>
          <w:p>
            <w:pPr>
              <w:jc w:val="left"/>
              <w:pStyle w:val="CellColumn"/>
            </w:pPr>
            <w:r>
              <w:rPr>
                <w:rFonts w:hAnsi="Times New Roman" w:cs="Times New Roman"/>
              </w:rPr>
              <w:t xml:space="preserve">Postotak izvršenja unutar dodijeljene kvote od 4% za APPRRR</w:t>
            </w:r>
          </w:p>
        </w:tc>
        <w:tc>
          <w:tcPr>
            <w:tcW w:w="1020.6" w:type="dxa"/>
            <w:vAlign w:val="center"/>
          </w:tcPr>
          <w:p>
            <w:pPr>
              <w:jc w:val="right"/>
              <w:pStyle w:val="CellColumn"/>
            </w:pPr>
            <w:r>
              <w:rPr>
                <w:rFonts w:hAnsi="Times New Roman" w:cs="Times New Roman"/>
              </w:rPr>
              <w:t xml:space="preserve">%</w:t>
            </w:r>
          </w:p>
        </w:tc>
        <w:tc>
          <w:tcPr>
            <w:tcW w:w="1020.6" w:type="dxa"/>
            <w:vAlign w:val="center"/>
          </w:tcPr>
          <w:p>
            <w:pPr>
              <w:jc w:val="right"/>
              <w:pStyle w:val="CellColumn"/>
            </w:pPr>
            <w:r>
              <w:rPr>
                <w:rFonts w:hAnsi="Times New Roman" w:cs="Times New Roman"/>
              </w:rPr>
              <w:t xml:space="preserve">0</w:t>
            </w:r>
          </w:p>
        </w:tc>
        <w:tc>
          <w:tcPr>
            <w:tcW w:w="1020.6" w:type="dxa"/>
            <w:vAlign w:val="center"/>
          </w:tcPr>
          <w:p>
            <w:pPr>
              <w:jc w:val="right"/>
              <w:pStyle w:val="CellColumn"/>
            </w:pPr>
            <w:r>
              <w:rPr>
                <w:rFonts w:hAnsi="Times New Roman" w:cs="Times New Roman"/>
              </w:rPr>
              <w:t xml:space="preserve">APPRRR</w:t>
            </w:r>
          </w:p>
        </w:tc>
        <w:tc>
          <w:tcPr>
            <w:tcW w:w="1020.6" w:type="dxa"/>
            <w:vAlign w:val="center"/>
          </w:tcPr>
          <w:p>
            <w:pPr>
              <w:jc w:val="right"/>
              <w:pStyle w:val="CellColumn"/>
            </w:pPr>
            <w:r>
              <w:rPr>
                <w:rFonts w:hAnsi="Times New Roman" w:cs="Times New Roman"/>
              </w:rPr>
              <w:t xml:space="preserve">50</w:t>
            </w:r>
          </w:p>
        </w:tc>
        <w:tc>
          <w:tcPr>
            <w:tcW w:w="1020.6" w:type="dxa"/>
            <w:vAlign w:val="center"/>
          </w:tcPr>
          <w:p>
            <w:pPr>
              <w:jc w:val="right"/>
              <w:pStyle w:val="CellColumn"/>
            </w:pPr>
            <w:r>
              <w:rPr>
                <w:rFonts w:hAnsi="Times New Roman" w:cs="Times New Roman"/>
              </w:rPr>
              <w:t xml:space="preserve">35</w:t>
            </w:r>
          </w:p>
        </w:tc>
      </w:tr>
    </w:tbl>
    <w:p>
      <w:pPr>
        <w:jc w:val="left"/>
      </w:pPr>
      <w:r>
        <w:rPr>
          <w:rFonts w:hAnsi="Times New Roman" w:cs="Times New Roman"/>
        </w:rPr>
        <w:t xml:space="preserve"/>
      </w:r>
    </w:p>
    <w:p>
      <w:pPr>
        <w:jc w:val="left"/>
        <w:pStyle w:val="Heading3"/>
      </w:pPr>
      <w:r>
        <w:rPr>
          <w:rFonts w:hAnsi="Times New Roman" w:cs="Times New Roman"/>
        </w:rPr>
        <w:t xml:space="preserve">3005 RIBARSTVO</w:t>
      </w:r>
    </w:p>
    <w:tbl>
      <w:tblPr w:type="dxa">
        <w:tblStyle w:val="StilTablice"/>
        <w:tblW w:w="10206"/>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3096</w:gridCol>
        <w:gridCol>3096</w:gridCol>
        <w:gridCol>3096</w:gridCol>
        <w:gridCol>3096</w:gridCol>
        <w:gridCol>3096</w:gridCol>
        <w:gridCol>3096</w:gridCol>
      </w:tblGrid>
      <w:tr>
        <w:trPr>
          <w:cantSplit/>
        </w:trPr>
        <w:tc>
          <w:tcPr>
            <w:tcW w:w="1632.96" w:type="dxa"/>
            <w:vAlign w:val="center"/>
            <w:shd w:val="clear" w:color="auto" w:fill="b5c0d8"/>
          </w:tcPr>
          <w:p>
            <w:pPr>
              <w:jc w:val="center"/>
              <w:pStyle w:val="CellHeader"/>
            </w:pPr>
            <w:r>
              <w:rPr>
                <w:rFonts w:hAnsi="Times New Roman" w:cs="Times New Roman"/>
              </w:rPr>
              <w:t xml:space="preserve"/>
            </w:r>
          </w:p>
        </w:tc>
        <w:tc>
          <w:tcPr>
            <w:tcW w:w="2041.2" w:type="dxa"/>
            <w:vAlign w:val="center"/>
            <w:shd w:val="clear" w:color="auto" w:fill="b5c0d8"/>
          </w:tcPr>
          <w:p>
            <w:pPr>
              <w:jc w:val="center"/>
              <w:pStyle w:val="CellHeader"/>
            </w:pPr>
            <w:r>
              <w:rPr>
                <w:rFonts w:hAnsi="Times New Roman" w:cs="Times New Roman"/>
              </w:rPr>
              <w:t xml:space="preserve">Izvršenje 2024. (eur)</w:t>
            </w:r>
          </w:p>
        </w:tc>
        <w:tc>
          <w:tcPr>
            <w:tcW w:w="2041.2" w:type="dxa"/>
            <w:vAlign w:val="center"/>
            <w:shd w:val="clear" w:color="auto" w:fill="b5c0d8"/>
          </w:tcPr>
          <w:p>
            <w:pPr>
              <w:jc w:val="center"/>
              <w:pStyle w:val="CellHeader"/>
            </w:pPr>
            <w:r>
              <w:rPr>
                <w:rFonts w:hAnsi="Times New Roman" w:cs="Times New Roman"/>
              </w:rPr>
              <w:t xml:space="preserve">Plan 2025. (eur)</w:t>
            </w:r>
          </w:p>
        </w:tc>
        <w:tc>
          <w:tcPr>
            <w:tcW w:w="2041.2" w:type="dxa"/>
            <w:vAlign w:val="center"/>
            <w:shd w:val="clear" w:color="auto" w:fill="b5c0d8"/>
          </w:tcPr>
          <w:p>
            <w:pPr>
              <w:jc w:val="center"/>
              <w:pStyle w:val="CellHeader"/>
            </w:pPr>
            <w:r>
              <w:rPr>
                <w:rFonts w:hAnsi="Times New Roman" w:cs="Times New Roman"/>
              </w:rPr>
              <w:t xml:space="preserve">Izvršenje 2025. (eur)</w:t>
            </w:r>
          </w:p>
        </w:tc>
        <w:tc>
          <w:tcPr>
            <w:tcW w:w="1224.72" w:type="dxa"/>
            <w:vAlign w:val="center"/>
            <w:shd w:val="clear" w:color="auto" w:fill="b5c0d8"/>
          </w:tcPr>
          <w:p>
            <w:pPr>
              <w:jc w:val="center"/>
              <w:pStyle w:val="CellHeader"/>
            </w:pPr>
            <w:r>
              <w:rPr>
                <w:rFonts w:hAnsi="Times New Roman" w:cs="Times New Roman"/>
              </w:rPr>
              <w:t xml:space="preserve">Indeks izvršenje 2025./plan 2025.</w:t>
            </w:r>
          </w:p>
        </w:tc>
        <w:tc>
          <w:tcPr>
            <w:tcW w:w="1224.72" w:type="dxa"/>
            <w:vAlign w:val="center"/>
            <w:shd w:val="clear" w:color="auto" w:fill="b5c0d8"/>
          </w:tcPr>
          <w:p>
            <w:pPr>
              <w:jc w:val="center"/>
              <w:pStyle w:val="CellHeader"/>
            </w:pPr>
            <w:r>
              <w:rPr>
                <w:rFonts w:hAnsi="Times New Roman" w:cs="Times New Roman"/>
              </w:rPr>
              <w:t xml:space="preserve">Index izvršenje 2025./2024.</w:t>
            </w:r>
          </w:p>
        </w:tc>
      </w:tr>
      <w:tr>
        <w:trPr>
          <w:cantSplit/>
        </w:trPr>
        <w:tc>
          <w:tcPr>
            <w:tcW w:w="1632.96" w:type="dxa"/>
            <w:vAlign w:val="center"/>
          </w:tcPr>
          <w:p>
            <w:pPr>
              <w:jc w:val="left"/>
              <w:pStyle w:val="CellColumn"/>
            </w:pPr>
            <w:r>
              <w:rPr>
                <w:rFonts w:hAnsi="Times New Roman" w:cs="Times New Roman"/>
              </w:rPr>
              <w:t xml:space="preserve">3005-RIBARSTVO</w:t>
            </w:r>
          </w:p>
        </w:tc>
        <w:tc>
          <w:tcPr>
            <w:tcW w:w="2041.2" w:type="dxa"/>
            <w:vAlign w:val="center"/>
          </w:tcPr>
          <w:p>
            <w:pPr>
              <w:jc w:val="right"/>
              <w:pStyle w:val="CellColumn"/>
            </w:pPr>
            <w:r>
              <w:rPr>
                <w:rFonts w:hAnsi="Times New Roman" w:cs="Times New Roman"/>
              </w:rPr>
              <w:t xml:space="preserve">259.940</w:t>
            </w:r>
          </w:p>
        </w:tc>
        <w:tc>
          <w:tcPr>
            <w:tcW w:w="2041.2" w:type="dxa"/>
            <w:vAlign w:val="center"/>
          </w:tcPr>
          <w:p>
            <w:pPr>
              <w:jc w:val="right"/>
              <w:pStyle w:val="CellColumn"/>
            </w:pPr>
            <w:r>
              <w:rPr>
                <w:rFonts w:hAnsi="Times New Roman" w:cs="Times New Roman"/>
              </w:rPr>
              <w:t xml:space="preserve">623.472</w:t>
            </w:r>
          </w:p>
        </w:tc>
        <w:tc>
          <w:tcPr>
            <w:tcW w:w="2041.2" w:type="dxa"/>
            <w:vAlign w:val="center"/>
          </w:tcPr>
          <w:p>
            <w:pPr>
              <w:jc w:val="right"/>
              <w:pStyle w:val="CellColumn"/>
            </w:pPr>
            <w:r>
              <w:rPr>
                <w:rFonts w:hAnsi="Times New Roman" w:cs="Times New Roman"/>
              </w:rPr>
              <w:t xml:space="preserve">311.453</w:t>
            </w:r>
          </w:p>
        </w:tc>
        <w:tc>
          <w:tcPr>
            <w:tcW w:w="1224.72" w:type="dxa"/>
            <w:vAlign w:val="center"/>
          </w:tcPr>
          <w:p>
            <w:pPr>
              <w:jc w:val="right"/>
              <w:pStyle w:val="CellColumn"/>
            </w:pPr>
            <w:r>
              <w:rPr>
                <w:rFonts w:hAnsi="Times New Roman" w:cs="Times New Roman"/>
              </w:rPr>
              <w:t xml:space="preserve">50,0</w:t>
            </w:r>
          </w:p>
        </w:tc>
        <w:tc>
          <w:tcPr>
            <w:tcW w:w="1224.72" w:type="dxa"/>
            <w:vAlign w:val="center"/>
          </w:tcPr>
          <w:p>
            <w:pPr>
              <w:jc w:val="right"/>
              <w:pStyle w:val="CellColumn"/>
            </w:pPr>
            <w:r>
              <w:rPr>
                <w:rFonts w:hAnsi="Times New Roman" w:cs="Times New Roman"/>
              </w:rPr>
              <w:t xml:space="preserve">119,8</w:t>
            </w:r>
          </w:p>
        </w:tc>
      </w:tr>
    </w:tbl>
    <w:p>
      <w:pPr>
        <w:jc w:val="left"/>
      </w:pPr>
      <w:r>
        <w:rPr>
          <w:rFonts w:hAnsi="Times New Roman" w:cs="Times New Roman"/>
        </w:rPr>
        <w:t xml:space="preserve"/>
      </w:r>
    </w:p>
    <w:p>
      <w:pPr>
        <w:jc w:val="both"/>
        <w:pStyle w:val="Normal"/>
      </w:pPr>
      <w:r>
        <w:rPr>
          <w:rFonts w:hAnsi="Times New Roman" w:cs="Times New Roman"/>
        </w:rPr>
        <w:t xml:space="preserve">Kroz potporu smanjenju utjecaja ribarstva i akvakulture na okoliš i klimu, istodobno osiguravajući pošteni ekonomski povrat ribarima i uzgajivačima, strategija Programa doprinosi ciljevima europskog zelenog paketa, strategije Od polja do stola, Strategije Europske unije za bioraznolikost do 2030., nove Strategije Europske unije za prilagodbu  
</w:t>
      </w:r>
    </w:p>
    <w:p>
      <w:pPr>
        <w:jc w:val="both"/>
        <w:pStyle w:val="Normal"/>
      </w:pPr>
      <w:r>
        <w:rPr>
          <w:rFonts w:hAnsi="Times New Roman" w:cs="Times New Roman"/>
        </w:rPr>
        <w:t xml:space="preserve">klimatskim promjenama, nove Strategije GFCM-a 2030, Komunikacije Europske Komisije o novom pristupu za održivo plavo gospodarstvo u Europskoj uniji, Preobrazba plavog gospodarstva Europske unije za održivu budućnost kao i relevantnih nacionalnih strategija te održivog plavog gospodarstva. Prioriteti su usmjereni ka promicanju održivih proizvodnih metoda radi postizanja boljih rezultata u području klime i okoliša, povećanja otpornosti na klimatske promjene, optimizacije korištenja prirodnih resursa, dekarbonizacije i klimatske neutralnosti. Poticat će se prelazak na održivost koji će pružiti mogućnost svim dionicima da ostvare konkurentsku prednost na tržištu te da se očuvaju vodeni biološki resursi s ciljem doprinosa zaštiti i obnovi vodene bioraznolikosti i ekosustava.Strategijom Programa doprinijet će se stvaranju dodane vrijednosti javnih ulaganja Europske unije, osobito korištenjem financijskih instrumenata. Nadalje, djelovanjima predviđenima za postizanje utvrđenih prioriteta ciljeva Programa osigurat će se odgovarajuća zastupljenost privatnog financiranja te pritom osigurati da se ne narušava tržišno natjecanje na unutarnjem tržištu.U odnosu na poticanje okolišno, gospodarski i socijalno održivog ribarstva, strategija Programa će u skladu sa Strategijom Europske unije za bioraznolikost do 2030. doprinijeti postizanju i održavanju održivog ribarstva kroz poticanje očuvanja, zaštite i obnove vodene bioraznolikosti i ekosustava i ribolovnih resursa na razini maksimalnog održivog prinosa  
</w:t>
      </w:r>
    </w:p>
    <w:p>
      <w:pPr>
        <w:jc w:val="both"/>
        <w:pStyle w:val="Normal"/>
      </w:pPr>
      <w:r>
        <w:rPr>
          <w:rFonts w:hAnsi="Times New Roman" w:cs="Times New Roman"/>
        </w:rPr>
        <w:t xml:space="preserve">(MSY) te kroz smanjenje negativnih učinaka ribolovnih aktivnosti na morski ekosustav na najmanju moguću mjeru. Također, poticat će se i prilagodba ribarstva klimatskim promjenama kao i ublažavanje klimatskih promjena, u skladu sa EU i nacionalnom Strategijom prilagodbe klimatskim promjenama te Strategijom niskougljičnog razvoja. 
</w:t>
      </w:r>
    </w:p>
    <w:p>
      <w:pPr>
        <w:jc w:val="both"/>
        <w:pStyle w:val="Normal"/>
      </w:pPr>
      <w:r>
        <w:rPr>
          <w:rFonts w:hAnsi="Times New Roman" w:cs="Times New Roman"/>
        </w:rPr>
        <w:t xml:space="preserve">Za ostvarivanje ciljeva očuvanja Zajedničke ribarstvene politike (ZRP), podupirat će se djelovanja namijenjena upravljanju ribarstvom i ribarskom flotom. U tom kontekstu potpora će se dodjeljivati za prilagodbu flote, i to za određene segmente flote, odnosno potpora će biti usmjerena na očuvanje i održivo iskorištavanje morskih bioloških resursa te na postizanje ravnoteže između ribolovnog kapaciteta i raspoloživih ribolovnih mogućnosti, a što doprinosi  
</w:t>
      </w:r>
    </w:p>
    <w:p>
      <w:pPr>
        <w:jc w:val="both"/>
        <w:pStyle w:val="Normal"/>
      </w:pPr>
      <w:r>
        <w:rPr>
          <w:rFonts w:hAnsi="Times New Roman" w:cs="Times New Roman"/>
        </w:rPr>
        <w:t xml:space="preserve">i održivom plavom gospodarstvu. U ovom smislu, važno je posebno istaknuti ključne segmente ribolova (demerzalni ribolov i ribolov male plave ribe u Jadranu) za koje su u recentnom razdoblju doneseni višegodišnji planovi upravljanja na razini GFCM-a kao stabilni upravljački okviri s jasno postavljenim ciljevima koji podrazumijevaju postizanje razine  
</w:t>
      </w:r>
    </w:p>
    <w:p>
      <w:pPr>
        <w:jc w:val="both"/>
        <w:pStyle w:val="Normal"/>
      </w:pPr>
      <w:r>
        <w:rPr>
          <w:rFonts w:hAnsi="Times New Roman" w:cs="Times New Roman"/>
        </w:rPr>
        <w:t xml:space="preserve">maksimalnog održivog prinosa u zadanim rokovima pomoću definiranih mjera, te će predviđene potpore biti usmjerene postizanju ciljeva navedenih planova.Uspjeh Zajedničke ribarstvene politike ovisi o dostupnosti znanstvenih savjeta u području upravljanja ribarstvom, a stoga i o dostupnosti podataka o ribarstvu. S obzirom na izazove i  
</w:t>
      </w:r>
    </w:p>
    <w:p>
      <w:pPr>
        <w:jc w:val="both"/>
        <w:pStyle w:val="Normal"/>
      </w:pPr>
      <w:r>
        <w:rPr>
          <w:rFonts w:hAnsi="Times New Roman" w:cs="Times New Roman"/>
        </w:rPr>
        <w:t xml:space="preserve">HR 10 HRtroškove povezane s dobivanjem pouzdanih i potpunih podataka, potrebno je pružiti potporu  
</w:t>
      </w:r>
    </w:p>
    <w:p>
      <w:pPr>
        <w:jc w:val="both"/>
        <w:pStyle w:val="Normal"/>
      </w:pPr>
      <w:r>
        <w:rPr>
          <w:rFonts w:hAnsi="Times New Roman" w:cs="Times New Roman"/>
        </w:rPr>
        <w:t xml:space="preserve">djelovanjima namijenjenima prikupljanju i obradi podataka, te korištenju istih u svrhu doprinosa upravljanju u ribarstvu.Konkretno, strateško usmjerenje stavljeno je na održivu akvakulturu uz povećanje produktivnosti i otpornosti proizvodnje odnosno prilagodbu akvakulture na klimatske promjene, jačanje konkurentnosti sektora akvakulture i poticanje inovacija. Strategija Programa usmjerena je na širenje i diversifikaciju proizvoda marikulture i slatkovodne akvakulture kroz poticanje ulaganja u sirovine, modernizaciju i energetsku učinkovitost uzgajališta, poticanje kružnog upravljanja i dekarbonizaciju, uspostavu mrjestilišta te kroz razvoj i uvođenje novih tehnologija mrijesta i recirkulacijskih sustava za uzgoj (RAS) u slatkovodnoj akvakulturi, uz potporu aktivnosti prijenosa znanja i uvođenjem inovacija tehnološkim, organizacijskim i poslovnim procesima u pružanju nutritivnih, zdravih i visoko kvalitetnih proizvoda potrošačima te pružanju podrške akvakulturi koja osigurava zaštitu okoliša.</w:t>
      </w:r>
    </w:p>
    <w:p>
      <w:pPr>
        <w:jc w:val="left"/>
        <w:pStyle w:val="Heading8"/>
      </w:pPr>
      <w:r>
        <w:rPr>
          <w:rFonts w:hAnsi="Times New Roman" w:cs="Times New Roman"/>
        </w:rPr>
        <w:t xml:space="preserve">Cilj 1. Poticanje održivog ribarstva te obnova i očuvanje vodenih bioloških resursa</w:t>
      </w:r>
    </w:p>
    <w:p>
      <w:pPr>
        <w:jc w:val="left"/>
        <w:pStyle w:val="Heading8"/>
      </w:pPr>
      <w:r>
        <w:rPr>
          <w:rFonts w:hAnsi="Times New Roman" w:cs="Times New Roman"/>
        </w:rPr>
        <w:t xml:space="preserve">Opis provedbe cilja programa</w:t>
      </w:r>
    </w:p>
    <w:p>
      <w:pPr>
        <w:jc w:val="both"/>
        <w:pStyle w:val="Normal"/>
      </w:pPr>
      <w:r>
        <w:rPr>
          <w:rFonts w:hAnsi="Times New Roman" w:cs="Times New Roman"/>
        </w:rPr>
        <w:t xml:space="preserve">U okviru ovoga specifičnog cilja, glavne predviđene aktivnosti obuhvaćaju potporu za zamjenu ili 
</w:t>
      </w:r>
    </w:p>
    <w:p>
      <w:pPr>
        <w:jc w:val="both"/>
        <w:pStyle w:val="Normal"/>
      </w:pPr>
      <w:r>
        <w:rPr>
          <w:rFonts w:hAnsi="Times New Roman" w:cs="Times New Roman"/>
        </w:rPr>
        <w:t xml:space="preserve">modernizaciju motora ribarskih plovila u svrhu povećanja energetske učinkovitosti i smanjenja emisija 
</w:t>
      </w:r>
    </w:p>
    <w:p>
      <w:pPr>
        <w:jc w:val="both"/>
        <w:pStyle w:val="Normal"/>
      </w:pPr>
      <w:r>
        <w:rPr>
          <w:rFonts w:hAnsi="Times New Roman" w:cs="Times New Roman"/>
        </w:rPr>
        <w:t xml:space="preserve">Co2 radi ublaŽavanja klimatskih promjena u skladu sa Strategijom niskougljičnog razvoja osnovni uvjeti koji 
</w:t>
      </w:r>
    </w:p>
    <w:p>
      <w:pPr>
        <w:jc w:val="both"/>
        <w:pStyle w:val="Normal"/>
      </w:pPr>
      <w:r>
        <w:rPr>
          <w:rFonts w:hAnsi="Times New Roman" w:cs="Times New Roman"/>
        </w:rPr>
        <w:t xml:space="preserve">se moraju zadovoljiti definirat će se u skladu sa relevantnim odredbama EIJ propisa, a uključujući uvjete vezane 
</w:t>
      </w:r>
    </w:p>
    <w:p>
      <w:pPr>
        <w:jc w:val="both"/>
        <w:pStyle w:val="Normal"/>
      </w:pPr>
      <w:r>
        <w:rPr>
          <w:rFonts w:hAnsi="Times New Roman" w:cs="Times New Roman"/>
        </w:rPr>
        <w:t xml:space="preserve">za snagu novih odnosno moderniziranih motora, ovisno o duljini ribarskog plovila: za plovila za mali priobalni 
</w:t>
      </w:r>
    </w:p>
    <w:p>
      <w:pPr>
        <w:jc w:val="both"/>
        <w:pStyle w:val="Normal"/>
      </w:pPr>
      <w:r>
        <w:rPr>
          <w:rFonts w:hAnsi="Times New Roman" w:cs="Times New Roman"/>
        </w:rPr>
        <w:t xml:space="preserve">ribolov novi ili osuvremenjeni motor nema više snage u kW od snage sadaŠnjeg motora, azadruga plovila čija 
</w:t>
      </w:r>
    </w:p>
    <w:p>
      <w:pPr>
        <w:jc w:val="both"/>
        <w:pStyle w:val="Normal"/>
      </w:pPr>
      <w:r>
        <w:rPr>
          <w:rFonts w:hAnsi="Times New Roman" w:cs="Times New Roman"/>
        </w:rPr>
        <w:t xml:space="preserve">duljina preko svega ne prelazi 24 melranovi ili osuvremenjeni motor nema više snage u kW od snage sadaŠnjeg 
</w:t>
      </w:r>
    </w:p>
    <w:p>
      <w:pPr>
        <w:jc w:val="both"/>
        <w:pStyle w:val="Normal"/>
      </w:pPr>
      <w:r>
        <w:rPr>
          <w:rFonts w:hAnsi="Times New Roman" w:cs="Times New Roman"/>
        </w:rPr>
        <w:t xml:space="preserve">motora i ispušta barem 20% manje Co2 u odnosu na sadaŠnjim motorom. Nadalje, potpora će se dodjeljivati 
</w:t>
      </w:r>
    </w:p>
    <w:p>
      <w:pPr>
        <w:jc w:val="both"/>
        <w:pStyle w:val="Normal"/>
      </w:pPr>
      <w:r>
        <w:rPr>
          <w:rFonts w:hAnsi="Times New Roman" w:cs="Times New Roman"/>
        </w:rPr>
        <w:t xml:space="preserve">za plovila registrirana u registru flote Unije najmanje pet kalendarskih godina koje su prethodile godini u kojoj 
</w:t>
      </w:r>
    </w:p>
    <w:p>
      <w:pPr>
        <w:jc w:val="both"/>
        <w:pStyle w:val="Normal"/>
      </w:pPr>
      <w:r>
        <w:rPr>
          <w:rFonts w:hAnsi="Times New Roman" w:cs="Times New Roman"/>
        </w:rPr>
        <w:t xml:space="preserve">je podnesen zahtjev za potporu i koja pripadaju segmentu ribarske flote za kojije izvjeŠćem o ravnoteži izmedu 
</w:t>
      </w:r>
    </w:p>
    <w:p>
      <w:pPr>
        <w:jc w:val="both"/>
        <w:pStyle w:val="Normal"/>
      </w:pPr>
      <w:r>
        <w:rPr>
          <w:rFonts w:hAnsi="Times New Roman" w:cs="Times New Roman"/>
        </w:rPr>
        <w:t xml:space="preserve">ribolovnog kapaciteta i ribolovnih mogućnosti utvrdeno daje uravnotežen. Takoder, kod definiranja uvjeta za 
</w:t>
      </w:r>
    </w:p>
    <w:p>
      <w:pPr>
        <w:jc w:val="both"/>
        <w:pStyle w:val="Normal"/>
      </w:pPr>
      <w:r>
        <w:rPr>
          <w:rFonts w:hAnsi="Times New Roman" w:cs="Times New Roman"/>
        </w:rPr>
        <w:t xml:space="preserve">ostvarivanje prava na potporu osigurat će se poštivanje obveze certifikacije odnosno fizičkog pregleda motora. 
</w:t>
      </w:r>
    </w:p>
    <w:p>
      <w:pPr>
        <w:jc w:val="both"/>
        <w:pStyle w:val="Normal"/>
      </w:pPr>
      <w:r>
        <w:rPr>
          <w:rFonts w:hAnsi="Times New Roman" w:cs="Times New Roman"/>
        </w:rPr>
        <w:t xml:space="preserve">a kako bi se potvrdilo da isti udovoljava propisanim odredbama vezanima za snagu te emisiju CO2.</w:t>
      </w:r>
    </w:p>
    <w:p>
      <w:pPr>
        <w:jc w:val="left"/>
        <w:pStyle w:val="Heading8"/>
      </w:pPr>
      <w:r>
        <w:rPr>
          <w:rFonts w:hAnsi="Times New Roman" w:cs="Times New Roman"/>
        </w:rPr>
        <w:t xml:space="preserve">Pokazatelji učinka</w:t>
      </w:r>
    </w:p>
    <w:tbl>
      <w:tblPr w:type="dxa">
        <w:tblStyle w:val="StilTablice"/>
        <w:tblW w:w="10206"/>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3096</w:gridCol>
        <w:gridCol>3096</w:gridCol>
        <w:gridCol>3096</w:gridCol>
        <w:gridCol>3096</w:gridCol>
        <w:gridCol>3096</w:gridCol>
        <w:gridCol>3096</w:gridCol>
        <w:gridCol>3096</w:gridCol>
      </w:tblGrid>
      <w:tr>
        <w:trPr>
          <w:cantSplit/>
        </w:trPr>
        <w:tc>
          <w:tcPr>
            <w:tcW w:w="2551.5" w:type="dxa"/>
            <w:vAlign w:val="center"/>
            <w:shd w:val="clear" w:color="auto" w:fill="b5c0d8"/>
          </w:tcPr>
          <w:p>
            <w:pPr>
              <w:jc w:val="center"/>
            </w:pPr>
            <w:r>
              <w:rPr>
                <w:rFonts w:hAnsi="Times New Roman" w:cs="Times New Roman"/>
              </w:rPr>
              <w:t xml:space="preserve">Pokazatelj učinka</w:t>
            </w:r>
          </w:p>
        </w:tc>
        <w:tc>
          <w:tcPr>
            <w:tcW w:w="2551.5" w:type="dxa"/>
            <w:vAlign w:val="center"/>
            <w:shd w:val="clear" w:color="auto" w:fill="b5c0d8"/>
          </w:tcPr>
          <w:p>
            <w:pPr>
              <w:jc w:val="center"/>
              <w:pStyle w:val="CellHeader"/>
            </w:pPr>
            <w:r>
              <w:rPr>
                <w:rFonts w:hAnsi="Times New Roman" w:cs="Times New Roman"/>
              </w:rPr>
              <w:t xml:space="preserve">Definicija</w:t>
            </w:r>
          </w:p>
        </w:tc>
        <w:tc>
          <w:tcPr>
            <w:tcW w:w="1020.6" w:type="dxa"/>
            <w:vAlign w:val="center"/>
            <w:shd w:val="clear" w:color="auto" w:fill="b5c0d8"/>
          </w:tcPr>
          <w:p>
            <w:pPr>
              <w:jc w:val="center"/>
              <w:pStyle w:val="CellHeader"/>
            </w:pPr>
            <w:r>
              <w:rPr>
                <w:rFonts w:hAnsi="Times New Roman" w:cs="Times New Roman"/>
              </w:rPr>
              <w:t xml:space="preserve">Jedinica</w:t>
            </w:r>
          </w:p>
        </w:tc>
        <w:tc>
          <w:tcPr>
            <w:tcW w:w="1020.6" w:type="dxa"/>
            <w:vAlign w:val="center"/>
            <w:shd w:val="clear" w:color="auto" w:fill="b5c0d8"/>
          </w:tcPr>
          <w:p>
            <w:pPr>
              <w:jc w:val="center"/>
              <w:pStyle w:val="CellHeader"/>
            </w:pPr>
            <w:r>
              <w:rPr>
                <w:rFonts w:hAnsi="Times New Roman" w:cs="Times New Roman"/>
              </w:rPr>
              <w:t xml:space="preserve">Polazna vrijednost</w:t>
            </w:r>
          </w:p>
        </w:tc>
        <w:tc>
          <w:tcPr>
            <w:tcW w:w="918.54" w:type="dxa"/>
            <w:vAlign w:val="center"/>
            <w:shd w:val="clear" w:color="auto" w:fill="b5c0d8"/>
          </w:tcPr>
          <w:p>
            <w:pPr>
              <w:jc w:val="center"/>
              <w:pStyle w:val="CellHeader"/>
            </w:pPr>
            <w:r>
              <w:rPr>
                <w:rFonts w:hAnsi="Times New Roman" w:cs="Times New Roman"/>
              </w:rPr>
              <w:t xml:space="preserve">Izvor podataka</w:t>
            </w:r>
          </w:p>
        </w:tc>
        <w:tc>
          <w:tcPr>
            <w:tcW w:w="1020.6" w:type="dxa"/>
            <w:vAlign w:val="center"/>
            <w:shd w:val="clear" w:color="auto" w:fill="b5c0d8"/>
          </w:tcPr>
          <w:p>
            <w:pPr>
              <w:jc w:val="center"/>
              <w:pStyle w:val="CellHeader"/>
            </w:pPr>
            <w:r>
              <w:rPr>
                <w:rFonts w:hAnsi="Times New Roman" w:cs="Times New Roman"/>
              </w:rPr>
              <w:t xml:space="preserve">Ciljana vrijednost (2025.)</w:t>
            </w:r>
          </w:p>
        </w:tc>
        <w:tc>
          <w:tcPr>
            <w:tcW w:w="1020.6" w:type="dxa"/>
            <w:vAlign w:val="center"/>
            <w:shd w:val="clear" w:color="auto" w:fill="b5c0d8"/>
          </w:tcPr>
          <w:p>
            <w:pPr>
              <w:jc w:val="center"/>
              <w:pStyle w:val="CellHeader"/>
            </w:pPr>
            <w:r>
              <w:rPr>
                <w:rFonts w:hAnsi="Times New Roman" w:cs="Times New Roman"/>
              </w:rPr>
              <w:t xml:space="preserve">Ostvarena vrijednost (2025.)</w:t>
            </w:r>
          </w:p>
        </w:tc>
      </w:tr>
      <w:tr>
        <w:trPr>
          <w:cantSplit/>
        </w:trPr>
        <w:tc>
          <w:tcPr>
            <w:tcW w:w="2551.5" w:type="dxa"/>
            <w:vAlign w:val="center"/>
          </w:tcPr>
          <w:p>
            <w:pPr>
              <w:jc w:val="left"/>
              <w:pStyle w:val="CellColumn"/>
            </w:pPr>
            <w:r>
              <w:rPr>
                <w:rFonts w:hAnsi="Times New Roman" w:cs="Times New Roman"/>
              </w:rPr>
              <w:t xml:space="preserve">Povećanje energetske učinkovitosti i smanjenje emisije CO2</w:t>
            </w:r>
          </w:p>
        </w:tc>
        <w:tc>
          <w:tcPr>
            <w:tcW w:w="2551.5" w:type="dxa"/>
            <w:vAlign w:val="center"/>
          </w:tcPr>
          <w:p>
            <w:pPr>
              <w:jc w:val="left"/>
              <w:pStyle w:val="CellColumn"/>
            </w:pPr>
            <w:r>
              <w:rPr>
                <w:rFonts w:hAnsi="Times New Roman" w:cs="Times New Roman"/>
              </w:rPr>
              <w:t xml:space="preserve">Povećanje enertgetske učinkovitosti i smanjenje CO2 kroz zamjenu ili modernizaciju motora ribarskih plovila</w:t>
            </w:r>
          </w:p>
        </w:tc>
        <w:tc>
          <w:tcPr>
            <w:tcW w:w="1020.6" w:type="dxa"/>
            <w:vAlign w:val="center"/>
          </w:tcPr>
          <w:p>
            <w:pPr>
              <w:jc w:val="right"/>
              <w:pStyle w:val="CellColumn"/>
            </w:pPr>
            <w:r>
              <w:rPr>
                <w:rFonts w:hAnsi="Times New Roman" w:cs="Times New Roman"/>
              </w:rPr>
              <w:t xml:space="preserve">%</w:t>
            </w:r>
          </w:p>
        </w:tc>
        <w:tc>
          <w:tcPr>
            <w:tcW w:w="1020.6" w:type="dxa"/>
            <w:vAlign w:val="center"/>
          </w:tcPr>
          <w:p>
            <w:pPr>
              <w:jc w:val="right"/>
              <w:pStyle w:val="CellColumn"/>
            </w:pPr>
            <w:r>
              <w:rPr>
                <w:rFonts w:hAnsi="Times New Roman" w:cs="Times New Roman"/>
              </w:rPr>
              <w:t xml:space="preserve">0%</w:t>
            </w:r>
          </w:p>
        </w:tc>
        <w:tc>
          <w:tcPr>
            <w:tcW w:w="1020.6" w:type="dxa"/>
            <w:vAlign w:val="center"/>
          </w:tcPr>
          <w:p>
            <w:pPr>
              <w:jc w:val="right"/>
              <w:pStyle w:val="CellColumn"/>
            </w:pPr>
            <w:r>
              <w:rPr>
                <w:rFonts w:hAnsi="Times New Roman" w:cs="Times New Roman"/>
              </w:rPr>
              <w:t xml:space="preserve">MP</w:t>
            </w:r>
          </w:p>
        </w:tc>
        <w:tc>
          <w:tcPr>
            <w:tcW w:w="1020.6" w:type="dxa"/>
            <w:vAlign w:val="center"/>
          </w:tcPr>
          <w:p>
            <w:pPr>
              <w:jc w:val="right"/>
              <w:pStyle w:val="CellColumn"/>
            </w:pPr>
            <w:r>
              <w:rPr>
                <w:rFonts w:hAnsi="Times New Roman" w:cs="Times New Roman"/>
              </w:rPr>
              <w:t xml:space="preserve">20</w:t>
            </w:r>
          </w:p>
        </w:tc>
        <w:tc>
          <w:tcPr>
            <w:tcW w:w="1020.6" w:type="dxa"/>
            <w:vAlign w:val="center"/>
          </w:tcPr>
          <w:p>
            <w:pPr>
              <w:jc w:val="right"/>
              <w:pStyle w:val="CellColumn"/>
            </w:pPr>
            <w:r>
              <w:rPr>
                <w:rFonts w:hAnsi="Times New Roman" w:cs="Times New Roman"/>
              </w:rPr>
              <w:t xml:space="preserve">20</w:t>
            </w:r>
          </w:p>
        </w:tc>
      </w:tr>
    </w:tbl>
    <w:p>
      <w:pPr>
        <w:jc w:val="left"/>
      </w:pPr>
      <w:r>
        <w:rPr>
          <w:rFonts w:hAnsi="Times New Roman" w:cs="Times New Roman"/>
        </w:rPr>
        <w:t xml:space="preserve"/>
      </w:r>
    </w:p>
    <w:p>
      <w:pPr>
        <w:jc w:val="left"/>
        <w:pStyle w:val="Heading4"/>
      </w:pPr>
      <w:r>
        <w:rPr>
          <w:rFonts w:hAnsi="Times New Roman" w:cs="Times New Roman"/>
        </w:rPr>
        <w:t xml:space="preserve">A841006 TEHNIČKA POMOĆ - OPERATIVNI PROGRAM ZA POMORSTVO I RIBARSTVO</w:t>
      </w:r>
    </w:p>
    <w:tbl>
      <w:tblPr w:type="dxa">
        <w:tblStyle w:val="StilTablice"/>
        <w:tblW w:w="10206"/>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3096</w:gridCol>
        <w:gridCol>3096</w:gridCol>
        <w:gridCol>3096</w:gridCol>
        <w:gridCol>3096</w:gridCol>
        <w:gridCol>3096</w:gridCol>
        <w:gridCol>3096</w:gridCol>
      </w:tblGrid>
      <w:tr>
        <w:trPr>
          <w:cantSplit/>
        </w:trPr>
        <w:tc>
          <w:tcPr>
            <w:tcW w:w="1632.96" w:type="dxa"/>
            <w:vAlign w:val="center"/>
            <w:shd w:val="clear" w:color="auto" w:fill="b5c0d8"/>
          </w:tcPr>
          <w:p>
            <w:pPr>
              <w:jc w:val="center"/>
              <w:pStyle w:val="CellHeader"/>
            </w:pPr>
            <w:r>
              <w:rPr>
                <w:rFonts w:hAnsi="Times New Roman" w:cs="Times New Roman"/>
              </w:rPr>
              <w:t xml:space="preserve">Naziv aktivnosti</w:t>
            </w:r>
          </w:p>
        </w:tc>
        <w:tc>
          <w:tcPr>
            <w:tcW w:w="2041.2" w:type="dxa"/>
            <w:vAlign w:val="center"/>
            <w:shd w:val="clear" w:color="auto" w:fill="b5c0d8"/>
          </w:tcPr>
          <w:p>
            <w:pPr>
              <w:jc w:val="center"/>
              <w:pStyle w:val="CellHeader"/>
            </w:pPr>
            <w:r>
              <w:rPr>
                <w:rFonts w:hAnsi="Times New Roman" w:cs="Times New Roman"/>
              </w:rPr>
              <w:t xml:space="preserve">Izvršenje 2024. (eur)</w:t>
            </w:r>
          </w:p>
        </w:tc>
        <w:tc>
          <w:tcPr>
            <w:tcW w:w="2041.2" w:type="dxa"/>
            <w:vAlign w:val="center"/>
            <w:shd w:val="clear" w:color="auto" w:fill="b5c0d8"/>
          </w:tcPr>
          <w:p>
            <w:pPr>
              <w:jc w:val="center"/>
              <w:pStyle w:val="CellHeader"/>
            </w:pPr>
            <w:r>
              <w:rPr>
                <w:rFonts w:hAnsi="Times New Roman" w:cs="Times New Roman"/>
              </w:rPr>
              <w:t xml:space="preserve">Plan 2025. (eur)</w:t>
            </w:r>
          </w:p>
        </w:tc>
        <w:tc>
          <w:tcPr>
            <w:tcW w:w="2041.2" w:type="dxa"/>
            <w:vAlign w:val="center"/>
            <w:shd w:val="clear" w:color="auto" w:fill="b5c0d8"/>
          </w:tcPr>
          <w:p>
            <w:pPr>
              <w:jc w:val="center"/>
              <w:pStyle w:val="CellHeader"/>
            </w:pPr>
            <w:r>
              <w:rPr>
                <w:rFonts w:hAnsi="Times New Roman" w:cs="Times New Roman"/>
              </w:rPr>
              <w:t xml:space="preserve">Izvršenje 2025. (eur)</w:t>
            </w:r>
          </w:p>
        </w:tc>
        <w:tc>
          <w:tcPr>
            <w:tcW w:w="1224.72" w:type="dxa"/>
            <w:vAlign w:val="center"/>
            <w:shd w:val="clear" w:color="auto" w:fill="b5c0d8"/>
          </w:tcPr>
          <w:p>
            <w:pPr>
              <w:jc w:val="center"/>
              <w:pStyle w:val="CellHeader"/>
            </w:pPr>
            <w:r>
              <w:rPr>
                <w:rFonts w:hAnsi="Times New Roman" w:cs="Times New Roman"/>
              </w:rPr>
              <w:t xml:space="preserve">Indeks izvršenje 2025./plan 2025.</w:t>
            </w:r>
          </w:p>
        </w:tc>
        <w:tc>
          <w:tcPr>
            <w:tcW w:w="1224.72" w:type="dxa"/>
            <w:vAlign w:val="center"/>
            <w:shd w:val="clear" w:color="auto" w:fill="b5c0d8"/>
          </w:tcPr>
          <w:p>
            <w:pPr>
              <w:jc w:val="center"/>
              <w:pStyle w:val="CellHeader"/>
            </w:pPr>
            <w:r>
              <w:rPr>
                <w:rFonts w:hAnsi="Times New Roman" w:cs="Times New Roman"/>
              </w:rPr>
              <w:t xml:space="preserve">Indeks izvršenje 2025./2024.</w:t>
            </w:r>
          </w:p>
        </w:tc>
      </w:tr>
      <w:tr>
        <w:trPr>
          <w:cantSplit/>
        </w:trPr>
        <w:tc>
          <w:tcPr>
            <w:tcW w:w="1632.96" w:type="dxa"/>
            <w:vAlign w:val="center"/>
          </w:tcPr>
          <w:p>
            <w:pPr>
              <w:jc w:val="left"/>
              <w:pStyle w:val="CellColumn"/>
            </w:pPr>
            <w:r>
              <w:rPr>
                <w:rFonts w:hAnsi="Times New Roman" w:cs="Times New Roman"/>
              </w:rPr>
              <w:t xml:space="preserve">A841006-TEHNIČKA POMOĆ - OPERATIVNI PROGRAM ZA POMORSTVO I RIBARSTVO</w:t>
            </w:r>
          </w:p>
        </w:tc>
        <w:tc>
          <w:tcPr>
            <w:tcW w:w="2041.2" w:type="dxa"/>
            <w:vAlign w:val="center"/>
          </w:tcPr>
          <w:p>
            <w:pPr>
              <w:jc w:val="right"/>
              <w:pStyle w:val="CellColumn"/>
            </w:pPr>
            <w:r>
              <w:rPr>
                <w:rFonts w:hAnsi="Times New Roman" w:cs="Times New Roman"/>
              </w:rPr>
              <w:t xml:space="preserve">0</w:t>
            </w:r>
          </w:p>
        </w:tc>
        <w:tc>
          <w:tcPr>
            <w:tcW w:w="2041.2" w:type="dxa"/>
            <w:vAlign w:val="center"/>
          </w:tcPr>
          <w:p>
            <w:pPr>
              <w:jc w:val="right"/>
              <w:pStyle w:val="CellColumn"/>
            </w:pPr>
            <w:r>
              <w:rPr>
                <w:rFonts w:hAnsi="Times New Roman" w:cs="Times New Roman"/>
              </w:rPr>
              <w:t xml:space="preserve">0</w:t>
            </w:r>
          </w:p>
        </w:tc>
        <w:tc>
          <w:tcPr>
            <w:tcW w:w="2041.2" w:type="dxa"/>
            <w:vAlign w:val="center"/>
          </w:tcPr>
          <w:p>
            <w:pPr>
              <w:jc w:val="right"/>
              <w:pStyle w:val="CellColumn"/>
            </w:pPr>
            <w:r>
              <w:rPr>
                <w:rFonts w:hAnsi="Times New Roman" w:cs="Times New Roman"/>
              </w:rPr>
              <w:t xml:space="preserve">0</w:t>
            </w:r>
          </w:p>
        </w:tc>
        <w:tc>
          <w:tcPr>
            <w:tcW w:w="1224.72" w:type="dxa"/>
            <w:vAlign w:val="center"/>
          </w:tcPr>
          <w:p>
            <w:pPr>
              <w:jc w:val="right"/>
              <w:pStyle w:val="CellColumn"/>
            </w:pPr>
            <w:r>
              <w:rPr>
                <w:rFonts w:hAnsi="Times New Roman" w:cs="Times New Roman"/>
              </w:rPr>
              <w:t xml:space="preserve">0</w:t>
            </w:r>
          </w:p>
        </w:tc>
        <w:tc>
          <w:tcPr>
            <w:tcW w:w="1224.72" w:type="dxa"/>
            <w:vAlign w:val="center"/>
          </w:tcPr>
          <w:p>
            <w:pPr>
              <w:jc w:val="right"/>
              <w:pStyle w:val="CellColumn"/>
            </w:pPr>
            <w:r>
              <w:rPr>
                <w:rFonts w:hAnsi="Times New Roman" w:cs="Times New Roman"/>
              </w:rPr>
              <w:t xml:space="preserve">0</w:t>
            </w:r>
          </w:p>
        </w:tc>
      </w:tr>
    </w:tbl>
    <w:p>
      <w:pPr>
        <w:jc w:val="left"/>
      </w:pPr>
      <w:r>
        <w:rPr>
          <w:rFonts w:hAnsi="Times New Roman" w:cs="Times New Roman"/>
        </w:rPr>
        <w:t xml:space="preserve"/>
      </w:r>
    </w:p>
    <w:p>
      <w:pPr>
        <w:jc w:val="left"/>
        <w:pStyle w:val="Heading8"/>
      </w:pPr>
      <w:r>
        <w:rPr>
          <w:rFonts w:hAnsi="Times New Roman" w:cs="Times New Roman"/>
        </w:rPr>
        <w:t xml:space="preserve">Zakonske i druge pravne osnove</w:t>
      </w:r>
    </w:p>
    <w:p>
      <w:pPr>
        <w:jc w:val="both"/>
        <w:pStyle w:val="Normal"/>
      </w:pPr>
      <w:r>
        <w:rPr>
          <w:rFonts w:hAnsi="Times New Roman" w:cs="Times New Roman"/>
        </w:rPr>
        <w:t xml:space="preserve">- Programa za ribarstvo i akvakulturu za programsko razdoblje 2021.-2027.</w:t>
      </w:r>
    </w:p>
    <w:p>
      <w:pPr>
        <w:jc w:val="left"/>
        <w:pStyle w:val="Heading8"/>
      </w:pPr>
      <w:r>
        <w:rPr>
          <w:rFonts w:hAnsi="Times New Roman" w:cs="Times New Roman"/>
        </w:rPr>
        <w:t xml:space="preserve">Opis aktivnosti</w:t>
      </w:r>
    </w:p>
    <w:p>
      <w:pPr>
        <w:jc w:val="both"/>
        <w:pStyle w:val="Normal"/>
      </w:pPr>
      <w:r>
        <w:rPr>
          <w:rFonts w:hAnsi="Times New Roman" w:cs="Times New Roman"/>
        </w:rPr>
        <w:t xml:space="preserve">Sve mjere bilo jd potrebno je isplatiti do 31.12.2025.g. nakon čega će se ova aktivnost zatvoriti.</w:t>
      </w:r>
    </w:p>
    <w:p>
      <w:pPr>
        <w:jc w:val="left"/>
        <w:pStyle w:val="Heading8"/>
      </w:pPr>
      <w:r>
        <w:rPr>
          <w:rFonts w:hAnsi="Times New Roman" w:cs="Times New Roman"/>
        </w:rPr>
        <w:t xml:space="preserve">Pokazatelji rezultata</w:t>
      </w:r>
    </w:p>
    <w:tbl>
      <w:tblPr w:type="dxa">
        <w:tblStyle w:val="StilTablice"/>
        <w:tblW w:w="10206"/>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3096</w:gridCol>
        <w:gridCol>3096</w:gridCol>
        <w:gridCol>3096</w:gridCol>
        <w:gridCol>3096</w:gridCol>
        <w:gridCol>3096</w:gridCol>
        <w:gridCol>3096</w:gridCol>
        <w:gridCol>3096</w:gridCol>
      </w:tblGrid>
      <w:tr>
        <w:trPr>
          <w:cantSplit/>
        </w:trPr>
        <w:tc>
          <w:tcPr>
            <w:tcW w:w="2551.5" w:type="dxa"/>
            <w:vAlign w:val="center"/>
            <w:shd w:val="clear" w:color="auto" w:fill="b5c0d8"/>
          </w:tcPr>
          <w:p>
            <w:pPr>
              <w:jc w:val="center"/>
            </w:pPr>
            <w:r>
              <w:rPr>
                <w:rFonts w:hAnsi="Times New Roman" w:cs="Times New Roman"/>
              </w:rPr>
              <w:t xml:space="preserve">Pokazatelj rezultata</w:t>
            </w:r>
          </w:p>
        </w:tc>
        <w:tc>
          <w:tcPr>
            <w:tcW w:w="2551.5" w:type="dxa"/>
            <w:vAlign w:val="center"/>
            <w:shd w:val="clear" w:color="auto" w:fill="b5c0d8"/>
          </w:tcPr>
          <w:p>
            <w:pPr>
              <w:jc w:val="center"/>
              <w:pStyle w:val="CellHeader"/>
            </w:pPr>
            <w:r>
              <w:rPr>
                <w:rFonts w:hAnsi="Times New Roman" w:cs="Times New Roman"/>
              </w:rPr>
              <w:t xml:space="preserve">Definicija</w:t>
            </w:r>
          </w:p>
        </w:tc>
        <w:tc>
          <w:tcPr>
            <w:tcW w:w="1020.6" w:type="dxa"/>
            <w:vAlign w:val="center"/>
            <w:shd w:val="clear" w:color="auto" w:fill="b5c0d8"/>
          </w:tcPr>
          <w:p>
            <w:pPr>
              <w:jc w:val="center"/>
              <w:pStyle w:val="CellHeader"/>
            </w:pPr>
            <w:r>
              <w:rPr>
                <w:rFonts w:hAnsi="Times New Roman" w:cs="Times New Roman"/>
              </w:rPr>
              <w:t xml:space="preserve">Jedinica</w:t>
            </w:r>
          </w:p>
        </w:tc>
        <w:tc>
          <w:tcPr>
            <w:tcW w:w="1020.6" w:type="dxa"/>
            <w:vAlign w:val="center"/>
            <w:shd w:val="clear" w:color="auto" w:fill="b5c0d8"/>
          </w:tcPr>
          <w:p>
            <w:pPr>
              <w:jc w:val="center"/>
              <w:pStyle w:val="CellHeader"/>
            </w:pPr>
            <w:r>
              <w:rPr>
                <w:rFonts w:hAnsi="Times New Roman" w:cs="Times New Roman"/>
              </w:rPr>
              <w:t xml:space="preserve">Polazna vrijednost</w:t>
            </w:r>
          </w:p>
        </w:tc>
        <w:tc>
          <w:tcPr>
            <w:tcW w:w="1020.6" w:type="dxa"/>
            <w:vAlign w:val="center"/>
            <w:shd w:val="clear" w:color="auto" w:fill="b5c0d8"/>
          </w:tcPr>
          <w:p>
            <w:pPr>
              <w:jc w:val="center"/>
              <w:pStyle w:val="CellHeader"/>
            </w:pPr>
            <w:r>
              <w:rPr>
                <w:rFonts w:hAnsi="Times New Roman" w:cs="Times New Roman"/>
              </w:rPr>
              <w:t xml:space="preserve">Izvor podataka</w:t>
            </w:r>
          </w:p>
        </w:tc>
        <w:tc>
          <w:tcPr>
            <w:tcW w:w="1020.6" w:type="dxa"/>
            <w:vAlign w:val="center"/>
            <w:shd w:val="clear" w:color="auto" w:fill="b5c0d8"/>
          </w:tcPr>
          <w:p>
            <w:pPr>
              <w:jc w:val="center"/>
              <w:pStyle w:val="CellHeader"/>
            </w:pPr>
            <w:r>
              <w:rPr>
                <w:rFonts w:hAnsi="Times New Roman" w:cs="Times New Roman"/>
              </w:rPr>
              <w:t xml:space="preserve">Ciljana vrijednost (2025.)</w:t>
            </w:r>
          </w:p>
        </w:tc>
        <w:tc>
          <w:tcPr>
            <w:tcW w:w="1020.6" w:type="dxa"/>
            <w:vAlign w:val="center"/>
            <w:shd w:val="clear" w:color="auto" w:fill="b5c0d8"/>
          </w:tcPr>
          <w:p>
            <w:pPr>
              <w:jc w:val="center"/>
              <w:pStyle w:val="CellHeader"/>
            </w:pPr>
            <w:r>
              <w:rPr>
                <w:rFonts w:hAnsi="Times New Roman" w:cs="Times New Roman"/>
              </w:rPr>
              <w:t xml:space="preserve">Ostvarena vrijednost (2025.)</w:t>
            </w:r>
          </w:p>
        </w:tc>
      </w:tr>
      <w:tr>
        <w:trPr>
          <w:cantSplit/>
        </w:trPr>
        <w:tc>
          <w:tcPr>
            <w:tcW w:w="2551.5" w:type="dxa"/>
            <w:vAlign w:val="center"/>
          </w:tcPr>
          <w:p>
            <w:pPr>
              <w:jc w:val="left"/>
              <w:pStyle w:val="CellColumn"/>
            </w:pPr>
            <w:r>
              <w:rPr>
                <w:rFonts w:hAnsi="Times New Roman" w:cs="Times New Roman"/>
              </w:rPr>
              <w:t xml:space="preserve">Isplata Zahtjeva iz Operativnog programa za pomorstvo i ribarstvo</w:t>
            </w:r>
          </w:p>
        </w:tc>
        <w:tc>
          <w:tcPr>
            <w:tcW w:w="2551.5" w:type="dxa"/>
            <w:vAlign w:val="center"/>
          </w:tcPr>
          <w:p>
            <w:pPr>
              <w:jc w:val="left"/>
              <w:pStyle w:val="CellColumn"/>
            </w:pPr>
            <w:r>
              <w:rPr>
                <w:rFonts w:hAnsi="Times New Roman" w:cs="Times New Roman"/>
              </w:rPr>
              <w:t xml:space="preserve">Isplata naknadno odbrenih zahtjeva iz prethodnog programskog razdoblja</w:t>
            </w:r>
          </w:p>
        </w:tc>
        <w:tc>
          <w:tcPr>
            <w:tcW w:w="1020.6" w:type="dxa"/>
            <w:vAlign w:val="center"/>
          </w:tcPr>
          <w:p>
            <w:pPr>
              <w:jc w:val="right"/>
              <w:pStyle w:val="CellColumn"/>
            </w:pPr>
            <w:r>
              <w:rPr>
                <w:rFonts w:hAnsi="Times New Roman" w:cs="Times New Roman"/>
              </w:rPr>
              <w:t xml:space="preserve">%</w:t>
            </w:r>
          </w:p>
        </w:tc>
        <w:tc>
          <w:tcPr>
            <w:tcW w:w="1020.6" w:type="dxa"/>
            <w:vAlign w:val="center"/>
          </w:tcPr>
          <w:p>
            <w:pPr>
              <w:jc w:val="right"/>
              <w:pStyle w:val="CellColumn"/>
            </w:pPr>
            <w:r>
              <w:rPr>
                <w:rFonts w:hAnsi="Times New Roman" w:cs="Times New Roman"/>
              </w:rPr>
              <w:t xml:space="preserve">100</w:t>
            </w:r>
          </w:p>
        </w:tc>
        <w:tc>
          <w:tcPr>
            <w:tcW w:w="1020.6" w:type="dxa"/>
            <w:vAlign w:val="center"/>
          </w:tcPr>
          <w:p>
            <w:pPr>
              <w:jc w:val="right"/>
              <w:pStyle w:val="CellColumn"/>
            </w:pPr>
            <w:r>
              <w:rPr>
                <w:rFonts w:hAnsi="Times New Roman" w:cs="Times New Roman"/>
              </w:rPr>
              <w:t xml:space="preserve">APPRRR</w:t>
            </w:r>
          </w:p>
        </w:tc>
        <w:tc>
          <w:tcPr>
            <w:tcW w:w="1020.6" w:type="dxa"/>
            <w:vAlign w:val="center"/>
          </w:tcPr>
          <w:p>
            <w:pPr>
              <w:jc w:val="right"/>
              <w:pStyle w:val="CellColumn"/>
            </w:pPr>
            <w:r>
              <w:rPr>
                <w:rFonts w:hAnsi="Times New Roman" w:cs="Times New Roman"/>
              </w:rPr>
              <w:t xml:space="preserve">100</w:t>
            </w:r>
          </w:p>
        </w:tc>
        <w:tc>
          <w:tcPr>
            <w:tcW w:w="1020.6" w:type="dxa"/>
            <w:vAlign w:val="center"/>
          </w:tcPr>
          <w:p>
            <w:pPr>
              <w:jc w:val="right"/>
              <w:pStyle w:val="CellColumn"/>
            </w:pPr>
            <w:r>
              <w:rPr>
                <w:rFonts w:hAnsi="Times New Roman" w:cs="Times New Roman"/>
              </w:rPr>
              <w:t xml:space="preserve">100</w:t>
            </w:r>
          </w:p>
        </w:tc>
      </w:tr>
    </w:tbl>
    <w:p>
      <w:pPr>
        <w:jc w:val="left"/>
      </w:pPr>
      <w:r>
        <w:rPr>
          <w:rFonts w:hAnsi="Times New Roman" w:cs="Times New Roman"/>
        </w:rPr>
        <w:t xml:space="preserve"/>
      </w:r>
    </w:p>
    <w:p>
      <w:pPr>
        <w:jc w:val="left"/>
        <w:pStyle w:val="Heading4"/>
      </w:pPr>
      <w:r>
        <w:rPr>
          <w:rFonts w:hAnsi="Times New Roman" w:cs="Times New Roman"/>
        </w:rPr>
        <w:t xml:space="preserve">A841010 TEHNIČKA POMOĆ - PROGRAM ZA RIBARSTVO I AKVAKULTURU RH ZA 2021.-2027.</w:t>
      </w:r>
    </w:p>
    <w:tbl>
      <w:tblPr w:type="dxa">
        <w:tblStyle w:val="StilTablice"/>
        <w:tblW w:w="10206"/>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3096</w:gridCol>
        <w:gridCol>3096</w:gridCol>
        <w:gridCol>3096</w:gridCol>
        <w:gridCol>3096</w:gridCol>
        <w:gridCol>3096</w:gridCol>
        <w:gridCol>3096</w:gridCol>
      </w:tblGrid>
      <w:tr>
        <w:trPr>
          <w:cantSplit/>
        </w:trPr>
        <w:tc>
          <w:tcPr>
            <w:tcW w:w="1632.96" w:type="dxa"/>
            <w:vAlign w:val="center"/>
            <w:shd w:val="clear" w:color="auto" w:fill="b5c0d8"/>
          </w:tcPr>
          <w:p>
            <w:pPr>
              <w:jc w:val="center"/>
              <w:pStyle w:val="CellHeader"/>
            </w:pPr>
            <w:r>
              <w:rPr>
                <w:rFonts w:hAnsi="Times New Roman" w:cs="Times New Roman"/>
              </w:rPr>
              <w:t xml:space="preserve">Naziv aktivnosti</w:t>
            </w:r>
          </w:p>
        </w:tc>
        <w:tc>
          <w:tcPr>
            <w:tcW w:w="2041.2" w:type="dxa"/>
            <w:vAlign w:val="center"/>
            <w:shd w:val="clear" w:color="auto" w:fill="b5c0d8"/>
          </w:tcPr>
          <w:p>
            <w:pPr>
              <w:jc w:val="center"/>
              <w:pStyle w:val="CellHeader"/>
            </w:pPr>
            <w:r>
              <w:rPr>
                <w:rFonts w:hAnsi="Times New Roman" w:cs="Times New Roman"/>
              </w:rPr>
              <w:t xml:space="preserve">Izvršenje 2024. (eur)</w:t>
            </w:r>
          </w:p>
        </w:tc>
        <w:tc>
          <w:tcPr>
            <w:tcW w:w="2041.2" w:type="dxa"/>
            <w:vAlign w:val="center"/>
            <w:shd w:val="clear" w:color="auto" w:fill="b5c0d8"/>
          </w:tcPr>
          <w:p>
            <w:pPr>
              <w:jc w:val="center"/>
              <w:pStyle w:val="CellHeader"/>
            </w:pPr>
            <w:r>
              <w:rPr>
                <w:rFonts w:hAnsi="Times New Roman" w:cs="Times New Roman"/>
              </w:rPr>
              <w:t xml:space="preserve">Plan 2025. (eur)</w:t>
            </w:r>
          </w:p>
        </w:tc>
        <w:tc>
          <w:tcPr>
            <w:tcW w:w="2041.2" w:type="dxa"/>
            <w:vAlign w:val="center"/>
            <w:shd w:val="clear" w:color="auto" w:fill="b5c0d8"/>
          </w:tcPr>
          <w:p>
            <w:pPr>
              <w:jc w:val="center"/>
              <w:pStyle w:val="CellHeader"/>
            </w:pPr>
            <w:r>
              <w:rPr>
                <w:rFonts w:hAnsi="Times New Roman" w:cs="Times New Roman"/>
              </w:rPr>
              <w:t xml:space="preserve">Izvršenje 2025. (eur)</w:t>
            </w:r>
          </w:p>
        </w:tc>
        <w:tc>
          <w:tcPr>
            <w:tcW w:w="1224.72" w:type="dxa"/>
            <w:vAlign w:val="center"/>
            <w:shd w:val="clear" w:color="auto" w:fill="b5c0d8"/>
          </w:tcPr>
          <w:p>
            <w:pPr>
              <w:jc w:val="center"/>
              <w:pStyle w:val="CellHeader"/>
            </w:pPr>
            <w:r>
              <w:rPr>
                <w:rFonts w:hAnsi="Times New Roman" w:cs="Times New Roman"/>
              </w:rPr>
              <w:t xml:space="preserve">Indeks izvršenje 2025./plan 2025.</w:t>
            </w:r>
          </w:p>
        </w:tc>
        <w:tc>
          <w:tcPr>
            <w:tcW w:w="1224.72" w:type="dxa"/>
            <w:vAlign w:val="center"/>
            <w:shd w:val="clear" w:color="auto" w:fill="b5c0d8"/>
          </w:tcPr>
          <w:p>
            <w:pPr>
              <w:jc w:val="center"/>
              <w:pStyle w:val="CellHeader"/>
            </w:pPr>
            <w:r>
              <w:rPr>
                <w:rFonts w:hAnsi="Times New Roman" w:cs="Times New Roman"/>
              </w:rPr>
              <w:t xml:space="preserve">Indeks izvršenje 2025./2024.</w:t>
            </w:r>
          </w:p>
        </w:tc>
      </w:tr>
      <w:tr>
        <w:trPr>
          <w:cantSplit/>
        </w:trPr>
        <w:tc>
          <w:tcPr>
            <w:tcW w:w="1632.96" w:type="dxa"/>
            <w:vAlign w:val="center"/>
          </w:tcPr>
          <w:p>
            <w:pPr>
              <w:jc w:val="left"/>
              <w:pStyle w:val="CellColumn"/>
            </w:pPr>
            <w:r>
              <w:rPr>
                <w:rFonts w:hAnsi="Times New Roman" w:cs="Times New Roman"/>
              </w:rPr>
              <w:t xml:space="preserve">A841010-TEHNIČKA POMOĆ - PROGRAM ZA RIBARSTVO I AKVAKULTURU RH ZA 2021.-2027.</w:t>
            </w:r>
          </w:p>
        </w:tc>
        <w:tc>
          <w:tcPr>
            <w:tcW w:w="2041.2" w:type="dxa"/>
            <w:vAlign w:val="center"/>
          </w:tcPr>
          <w:p>
            <w:pPr>
              <w:jc w:val="right"/>
              <w:pStyle w:val="CellColumn"/>
            </w:pPr>
            <w:r>
              <w:rPr>
                <w:rFonts w:hAnsi="Times New Roman" w:cs="Times New Roman"/>
              </w:rPr>
              <w:t xml:space="preserve">259.940</w:t>
            </w:r>
          </w:p>
        </w:tc>
        <w:tc>
          <w:tcPr>
            <w:tcW w:w="2041.2" w:type="dxa"/>
            <w:vAlign w:val="center"/>
          </w:tcPr>
          <w:p>
            <w:pPr>
              <w:jc w:val="right"/>
              <w:pStyle w:val="CellColumn"/>
            </w:pPr>
            <w:r>
              <w:rPr>
                <w:rFonts w:hAnsi="Times New Roman" w:cs="Times New Roman"/>
              </w:rPr>
              <w:t xml:space="preserve">623.472</w:t>
            </w:r>
          </w:p>
        </w:tc>
        <w:tc>
          <w:tcPr>
            <w:tcW w:w="2041.2" w:type="dxa"/>
            <w:vAlign w:val="center"/>
          </w:tcPr>
          <w:p>
            <w:pPr>
              <w:jc w:val="right"/>
              <w:pStyle w:val="CellColumn"/>
            </w:pPr>
            <w:r>
              <w:rPr>
                <w:rFonts w:hAnsi="Times New Roman" w:cs="Times New Roman"/>
              </w:rPr>
              <w:t xml:space="preserve">311.453</w:t>
            </w:r>
          </w:p>
        </w:tc>
        <w:tc>
          <w:tcPr>
            <w:tcW w:w="1224.72" w:type="dxa"/>
            <w:vAlign w:val="center"/>
          </w:tcPr>
          <w:p>
            <w:pPr>
              <w:jc w:val="right"/>
              <w:pStyle w:val="CellColumn"/>
            </w:pPr>
            <w:r>
              <w:rPr>
                <w:rFonts w:hAnsi="Times New Roman" w:cs="Times New Roman"/>
              </w:rPr>
              <w:t xml:space="preserve">50,0</w:t>
            </w:r>
          </w:p>
        </w:tc>
        <w:tc>
          <w:tcPr>
            <w:tcW w:w="1224.72" w:type="dxa"/>
            <w:vAlign w:val="center"/>
          </w:tcPr>
          <w:p>
            <w:pPr>
              <w:jc w:val="right"/>
              <w:pStyle w:val="CellColumn"/>
            </w:pPr>
            <w:r>
              <w:rPr>
                <w:rFonts w:hAnsi="Times New Roman" w:cs="Times New Roman"/>
              </w:rPr>
              <w:t xml:space="preserve">119,8</w:t>
            </w:r>
          </w:p>
        </w:tc>
      </w:tr>
    </w:tbl>
    <w:p>
      <w:pPr>
        <w:jc w:val="left"/>
      </w:pPr>
      <w:r>
        <w:rPr>
          <w:rFonts w:hAnsi="Times New Roman" w:cs="Times New Roman"/>
        </w:rPr>
        <w:t xml:space="preserve"/>
      </w:r>
    </w:p>
    <w:p>
      <w:pPr>
        <w:jc w:val="left"/>
        <w:pStyle w:val="Heading8"/>
      </w:pPr>
      <w:r>
        <w:rPr>
          <w:rFonts w:hAnsi="Times New Roman" w:cs="Times New Roman"/>
        </w:rPr>
        <w:t xml:space="preserve">Zakonske i druge pravne osnove</w:t>
      </w:r>
    </w:p>
    <w:p>
      <w:pPr>
        <w:jc w:val="both"/>
        <w:pStyle w:val="Normal"/>
      </w:pPr>
      <w:r>
        <w:rPr>
          <w:rFonts w:hAnsi="Times New Roman" w:cs="Times New Roman"/>
        </w:rPr>
        <w:t xml:space="preserve">- Program za ribarstvo i akvakulturu za programsko razdoblje 2021.-2027. 
</w:t>
      </w:r>
    </w:p>
    <w:p>
      <w:pPr>
        <w:jc w:val="both"/>
        <w:pStyle w:val="Normal"/>
      </w:pPr>
      <w:r>
        <w:rPr>
          <w:rFonts w:hAnsi="Times New Roman" w:cs="Times New Roman"/>
        </w:rPr>
        <w:t xml:space="preserve">- Uredba (EU) br. 2021/1060 Europskog parlamenta i Vijeća od 24. lipnja 2021. 
</w:t>
      </w:r>
    </w:p>
    <w:p>
      <w:pPr>
        <w:jc w:val="both"/>
        <w:pStyle w:val="Normal"/>
      </w:pPr>
      <w:r>
        <w:rPr>
          <w:rFonts w:hAnsi="Times New Roman" w:cs="Times New Roman"/>
        </w:rPr>
        <w:t xml:space="preserve">- Uredba (EU) br. 2021/1060
</w:t>
      </w:r>
    </w:p>
    <w:p>
      <w:pPr>
        <w:jc w:val="both"/>
        <w:pStyle w:val="Normal"/>
      </w:pPr>
      <w:r>
        <w:rPr>
          <w:rFonts w:hAnsi="Times New Roman" w:cs="Times New Roman"/>
        </w:rPr>
        <w:t xml:space="preserve">- - Uredba (EU) br. 2021/1139
</w:t>
      </w:r>
    </w:p>
    <w:p>
      <w:pPr>
        <w:jc w:val="both"/>
        <w:pStyle w:val="Normal"/>
      </w:pPr>
      <w:r>
        <w:rPr>
          <w:rFonts w:hAnsi="Times New Roman" w:cs="Times New Roman"/>
        </w:rPr>
        <w:t xml:space="preserve">Zakon o institucionalnom okviru za korištenje fondova Europske unije u Republici Hrvatskoj</w:t>
      </w:r>
    </w:p>
    <w:p>
      <w:pPr>
        <w:jc w:val="left"/>
        <w:pStyle w:val="Heading8"/>
      </w:pPr>
      <w:r>
        <w:rPr>
          <w:rFonts w:hAnsi="Times New Roman" w:cs="Times New Roman"/>
        </w:rPr>
        <w:t xml:space="preserve">Opis aktivnosti</w:t>
      </w:r>
    </w:p>
    <w:p>
      <w:pPr>
        <w:jc w:val="both"/>
        <w:pStyle w:val="Normal"/>
      </w:pPr>
      <w:r>
        <w:rPr>
          <w:rFonts w:hAnsi="Times New Roman" w:cs="Times New Roman"/>
        </w:rPr>
        <w:t xml:space="preserve">Na temelju Zakona o institucionalnom okviru za korištenje fondova Europske unije u Republici Hrvatskoj, Vlada Republike Hrvatske je donijela Uredbu o tijelima u Sustavu upravljanja i kontrole provedbe Programa za ribarstvo i akvakulturu Republike Hrvatske za programsko razdoblje 2021.–2027. kojom je Ministarstvo poljoprivrede određeno kao Uptavljačko tijelo, a Agencija z plaćanja u poljoprivredi, ribarstvu i ruralnom razvoju kao jedno od posredničkih tijela.
</w:t>
      </w:r>
    </w:p>
    <w:p>
      <w:pPr>
        <w:jc w:val="both"/>
        <w:pStyle w:val="Normal"/>
      </w:pPr>
      <w:r>
        <w:rPr>
          <w:rFonts w:hAnsi="Times New Roman" w:cs="Times New Roman"/>
        </w:rPr>
        <w:t xml:space="preserve">Služba za analize u ribarstvu provodi jednu od osnovnih delegiranih funkcija, a to su tehničke i ekonomske analize u okviru operacija za koje su takve analize predviđene. Obavlja stručne poslove vezane za organizaciju, koordinaciju i planiranje poslova ekonomskih i tehničkih analiza u ribarstvu; obavlja analize financijskih izvještaja u svrhu ocjene boniteta podnositelja zahtjeva za mjere EFPRA-a, stručnih mišljenja i ocjene poslovnih planova/investicijskih studija za zaprimljene projekte; bavi se izradom obrazaca poslovnih planova/investicijskih studija, metodologije procjene i internih procedura za provođenje mjera EFPRA-a u okvirima svoje nadležnosti; obavlja stručne poslove vezane za praćenje cijena izgradnje i opremanja objekata na tržištu u svrhu procjene opravdanosti troškova ulaganja korisnika mjera EFPRA-a; organizira prikupljanje i razmjenu podataka s tijelima državne uprave i stručnim ustanovama i podataka od dobavljača i proizvođača različite opreme na domaćem i inozemnom tržištu; osmišljava, unaprjeđuje i sudjeluje u provedbi transparentnog postupka prikupljanja ponuda korisnika potpora; bavi se i ocjenjivanjem tehnoloških i tehničkih/ekonomskih elemenata ulaganja korisnika sredstava potpore. 
</w:t>
      </w:r>
    </w:p>
    <w:p>
      <w:pPr>
        <w:jc w:val="both"/>
        <w:pStyle w:val="Normal"/>
      </w:pPr>
      <w:r>
        <w:rPr>
          <w:rFonts w:hAnsi="Times New Roman" w:cs="Times New Roman"/>
        </w:rPr>
        <w:t xml:space="preserve">Sektor za financijsko i računovodstveno upravljanje potporama u PT-APPRRR odgovoran je za provedbu funkcije plaćanja, računovodstva i upravljanja dugovima. 
</w:t>
      </w:r>
    </w:p>
    <w:p>
      <w:pPr>
        <w:jc w:val="both"/>
        <w:pStyle w:val="Normal"/>
      </w:pPr>
      <w:r>
        <w:rPr>
          <w:rFonts w:hAnsi="Times New Roman" w:cs="Times New Roman"/>
        </w:rPr>
        <w:t xml:space="preserve">Sukladno programu za ribarstvo i akvakulturu u okvitu tehničke pomoći u novom programskom razdoblju 70 % sredstava javne potpore financirane su iz sredstava Unije, a 30% iz nacionalnog proračuna.</w:t>
      </w:r>
    </w:p>
    <w:p>
      <w:pPr>
        <w:jc w:val="left"/>
        <w:pStyle w:val="Heading8"/>
      </w:pPr>
      <w:r>
        <w:rPr>
          <w:rFonts w:hAnsi="Times New Roman" w:cs="Times New Roman"/>
        </w:rPr>
        <w:t xml:space="preserve">Pokazatelji rezultata</w:t>
      </w:r>
    </w:p>
    <w:tbl>
      <w:tblPr w:type="dxa">
        <w:tblStyle w:val="StilTablice"/>
        <w:tblW w:w="10206"/>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3096</w:gridCol>
        <w:gridCol>3096</w:gridCol>
        <w:gridCol>3096</w:gridCol>
        <w:gridCol>3096</w:gridCol>
        <w:gridCol>3096</w:gridCol>
        <w:gridCol>3096</w:gridCol>
        <w:gridCol>3096</w:gridCol>
      </w:tblGrid>
      <w:tr>
        <w:trPr>
          <w:cantSplit/>
        </w:trPr>
        <w:tc>
          <w:tcPr>
            <w:tcW w:w="2551.5" w:type="dxa"/>
            <w:vAlign w:val="center"/>
            <w:shd w:val="clear" w:color="auto" w:fill="b5c0d8"/>
          </w:tcPr>
          <w:p>
            <w:pPr>
              <w:jc w:val="center"/>
            </w:pPr>
            <w:r>
              <w:rPr>
                <w:rFonts w:hAnsi="Times New Roman" w:cs="Times New Roman"/>
              </w:rPr>
              <w:t xml:space="preserve">Pokazatelj rezultata</w:t>
            </w:r>
          </w:p>
        </w:tc>
        <w:tc>
          <w:tcPr>
            <w:tcW w:w="2551.5" w:type="dxa"/>
            <w:vAlign w:val="center"/>
            <w:shd w:val="clear" w:color="auto" w:fill="b5c0d8"/>
          </w:tcPr>
          <w:p>
            <w:pPr>
              <w:jc w:val="center"/>
              <w:pStyle w:val="CellHeader"/>
            </w:pPr>
            <w:r>
              <w:rPr>
                <w:rFonts w:hAnsi="Times New Roman" w:cs="Times New Roman"/>
              </w:rPr>
              <w:t xml:space="preserve">Definicija</w:t>
            </w:r>
          </w:p>
        </w:tc>
        <w:tc>
          <w:tcPr>
            <w:tcW w:w="1020.6" w:type="dxa"/>
            <w:vAlign w:val="center"/>
            <w:shd w:val="clear" w:color="auto" w:fill="b5c0d8"/>
          </w:tcPr>
          <w:p>
            <w:pPr>
              <w:jc w:val="center"/>
              <w:pStyle w:val="CellHeader"/>
            </w:pPr>
            <w:r>
              <w:rPr>
                <w:rFonts w:hAnsi="Times New Roman" w:cs="Times New Roman"/>
              </w:rPr>
              <w:t xml:space="preserve">Jedinica</w:t>
            </w:r>
          </w:p>
        </w:tc>
        <w:tc>
          <w:tcPr>
            <w:tcW w:w="1020.6" w:type="dxa"/>
            <w:vAlign w:val="center"/>
            <w:shd w:val="clear" w:color="auto" w:fill="b5c0d8"/>
          </w:tcPr>
          <w:p>
            <w:pPr>
              <w:jc w:val="center"/>
              <w:pStyle w:val="CellHeader"/>
            </w:pPr>
            <w:r>
              <w:rPr>
                <w:rFonts w:hAnsi="Times New Roman" w:cs="Times New Roman"/>
              </w:rPr>
              <w:t xml:space="preserve">Polazna vrijednost</w:t>
            </w:r>
          </w:p>
        </w:tc>
        <w:tc>
          <w:tcPr>
            <w:tcW w:w="1020.6" w:type="dxa"/>
            <w:vAlign w:val="center"/>
            <w:shd w:val="clear" w:color="auto" w:fill="b5c0d8"/>
          </w:tcPr>
          <w:p>
            <w:pPr>
              <w:jc w:val="center"/>
              <w:pStyle w:val="CellHeader"/>
            </w:pPr>
            <w:r>
              <w:rPr>
                <w:rFonts w:hAnsi="Times New Roman" w:cs="Times New Roman"/>
              </w:rPr>
              <w:t xml:space="preserve">Izvor podataka</w:t>
            </w:r>
          </w:p>
        </w:tc>
        <w:tc>
          <w:tcPr>
            <w:tcW w:w="1020.6" w:type="dxa"/>
            <w:vAlign w:val="center"/>
            <w:shd w:val="clear" w:color="auto" w:fill="b5c0d8"/>
          </w:tcPr>
          <w:p>
            <w:pPr>
              <w:jc w:val="center"/>
              <w:pStyle w:val="CellHeader"/>
            </w:pPr>
            <w:r>
              <w:rPr>
                <w:rFonts w:hAnsi="Times New Roman" w:cs="Times New Roman"/>
              </w:rPr>
              <w:t xml:space="preserve">Ciljana vrijednost (2025.)</w:t>
            </w:r>
          </w:p>
        </w:tc>
        <w:tc>
          <w:tcPr>
            <w:tcW w:w="1020.6" w:type="dxa"/>
            <w:vAlign w:val="center"/>
            <w:shd w:val="clear" w:color="auto" w:fill="b5c0d8"/>
          </w:tcPr>
          <w:p>
            <w:pPr>
              <w:jc w:val="center"/>
              <w:pStyle w:val="CellHeader"/>
            </w:pPr>
            <w:r>
              <w:rPr>
                <w:rFonts w:hAnsi="Times New Roman" w:cs="Times New Roman"/>
              </w:rPr>
              <w:t xml:space="preserve">Ostvarena vrijednost (2025.)</w:t>
            </w:r>
          </w:p>
        </w:tc>
      </w:tr>
      <w:tr>
        <w:trPr>
          <w:cantSplit/>
        </w:trPr>
        <w:tc>
          <w:tcPr>
            <w:tcW w:w="2551.5" w:type="dxa"/>
            <w:vAlign w:val="center"/>
          </w:tcPr>
          <w:p>
            <w:pPr>
              <w:jc w:val="left"/>
              <w:pStyle w:val="CellColumn"/>
            </w:pPr>
            <w:r>
              <w:rPr>
                <w:rFonts w:hAnsi="Times New Roman" w:cs="Times New Roman"/>
              </w:rPr>
              <w:t xml:space="preserve">Postotak odrađenih tehničkih i ekonomskih analiza</w:t>
            </w:r>
          </w:p>
        </w:tc>
        <w:tc>
          <w:tcPr>
            <w:tcW w:w="2551.5" w:type="dxa"/>
            <w:vAlign w:val="center"/>
          </w:tcPr>
          <w:p>
            <w:pPr>
              <w:jc w:val="left"/>
              <w:pStyle w:val="CellColumn"/>
            </w:pPr>
            <w:r>
              <w:rPr>
                <w:rFonts w:hAnsi="Times New Roman" w:cs="Times New Roman"/>
              </w:rPr>
              <w:t xml:space="preserve">APPRRR provodi delegiranu funkciju tehničkih i ekonomskih analiza zahtjeva za potpore u ribarstvu</w:t>
            </w:r>
          </w:p>
        </w:tc>
        <w:tc>
          <w:tcPr>
            <w:tcW w:w="1020.6" w:type="dxa"/>
            <w:vAlign w:val="center"/>
          </w:tcPr>
          <w:p>
            <w:pPr>
              <w:jc w:val="right"/>
              <w:pStyle w:val="CellColumn"/>
            </w:pPr>
            <w:r>
              <w:rPr>
                <w:rFonts w:hAnsi="Times New Roman" w:cs="Times New Roman"/>
              </w:rPr>
              <w:t xml:space="preserve">%</w:t>
            </w:r>
          </w:p>
        </w:tc>
        <w:tc>
          <w:tcPr>
            <w:tcW w:w="1020.6" w:type="dxa"/>
            <w:vAlign w:val="center"/>
          </w:tcPr>
          <w:p>
            <w:pPr>
              <w:jc w:val="right"/>
              <w:pStyle w:val="CellColumn"/>
            </w:pPr>
            <w:r>
              <w:rPr>
                <w:rFonts w:hAnsi="Times New Roman" w:cs="Times New Roman"/>
              </w:rPr>
              <w:t xml:space="preserve">100</w:t>
            </w:r>
          </w:p>
        </w:tc>
        <w:tc>
          <w:tcPr>
            <w:tcW w:w="1020.6" w:type="dxa"/>
            <w:vAlign w:val="center"/>
          </w:tcPr>
          <w:p>
            <w:pPr>
              <w:jc w:val="right"/>
              <w:pStyle w:val="CellColumn"/>
            </w:pPr>
            <w:r>
              <w:rPr>
                <w:rFonts w:hAnsi="Times New Roman" w:cs="Times New Roman"/>
              </w:rPr>
              <w:t xml:space="preserve">APPRRR</w:t>
            </w:r>
          </w:p>
        </w:tc>
        <w:tc>
          <w:tcPr>
            <w:tcW w:w="1020.6" w:type="dxa"/>
            <w:vAlign w:val="center"/>
          </w:tcPr>
          <w:p>
            <w:pPr>
              <w:jc w:val="right"/>
              <w:pStyle w:val="CellColumn"/>
            </w:pPr>
            <w:r>
              <w:rPr>
                <w:rFonts w:hAnsi="Times New Roman" w:cs="Times New Roman"/>
              </w:rPr>
              <w:t xml:space="preserve">100</w:t>
            </w:r>
          </w:p>
        </w:tc>
        <w:tc>
          <w:tcPr>
            <w:tcW w:w="1020.6" w:type="dxa"/>
            <w:vAlign w:val="center"/>
          </w:tcPr>
          <w:p>
            <w:pPr>
              <w:jc w:val="right"/>
              <w:pStyle w:val="CellColumn"/>
            </w:pPr>
            <w:r>
              <w:rPr>
                <w:rFonts w:hAnsi="Times New Roman" w:cs="Times New Roman"/>
              </w:rPr>
              <w:t xml:space="preserve">100</w:t>
            </w:r>
          </w:p>
        </w:tc>
      </w:tr>
    </w:tbl>
    <w:p>
      <w:pPr>
        <w:jc w:val="left"/>
      </w:pPr>
      <w:r>
        <w:rPr>
          <w:rFonts w:hAnsi="Times New Roman" w:cs="Times New Roman"/>
        </w:rPr>
        <w:t xml:space="preserve"/>
      </w:r>
    </w:p>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7E45" w:rsidRDefault="007A7E45" w:rsidP="00F352E6">
      <w:r>
        <w:separator/>
      </w:r>
    </w:p>
  </w:endnote>
  <w:endnote w:type="continuationSeparator" w:id="0">
    <w:p w:rsidR="007A7E45" w:rsidRDefault="007A7E45" w:rsidP="00F35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2898" w:rsidRPr="00D769ED" w:rsidRDefault="00FE4B89" w:rsidP="007D4430">
    <w:pPr>
      <w:pStyle w:val="Footer"/>
      <w:pBdr>
        <w:top w:val="none" w:sz="0" w:space="0"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7E45" w:rsidRDefault="007A7E45" w:rsidP="00F352E6">
      <w:r>
        <w:separator/>
      </w:r>
    </w:p>
  </w:footnote>
  <w:footnote w:type="continuationSeparator" w:id="0">
    <w:p w:rsidR="007A7E45" w:rsidRDefault="007A7E45" w:rsidP="00F35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2898" w:rsidRDefault="00FE4B89" w:rsidP="00A70582">
    <w:pPr>
      <w:pStyle w:val="Header"/>
      <w:pBdr>
        <w:bottom w:val="none" w:sz="0" w:space="0" w:color="auto"/>
      </w:pBdr>
      <w:tabs>
        <w:tab w:val="clear" w:pos="9072"/>
        <w:tab w:val="right" w:pos="9540"/>
      </w:tabs>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C76"/>
    <w:rsid w:val="00013A1A"/>
    <w:rsid w:val="0002533C"/>
    <w:rsid w:val="000352D6"/>
    <w:rsid w:val="000C0A6C"/>
    <w:rsid w:val="0010779D"/>
    <w:rsid w:val="0013155A"/>
    <w:rsid w:val="0017490A"/>
    <w:rsid w:val="001E5246"/>
    <w:rsid w:val="0027042C"/>
    <w:rsid w:val="00311AA1"/>
    <w:rsid w:val="00382225"/>
    <w:rsid w:val="00386953"/>
    <w:rsid w:val="00463609"/>
    <w:rsid w:val="00480C76"/>
    <w:rsid w:val="004C01B5"/>
    <w:rsid w:val="0052289C"/>
    <w:rsid w:val="00524A66"/>
    <w:rsid w:val="00526A7C"/>
    <w:rsid w:val="005A70C0"/>
    <w:rsid w:val="005B6ED7"/>
    <w:rsid w:val="005E2D85"/>
    <w:rsid w:val="00633683"/>
    <w:rsid w:val="00674346"/>
    <w:rsid w:val="006B3283"/>
    <w:rsid w:val="007665AA"/>
    <w:rsid w:val="007A7E45"/>
    <w:rsid w:val="007D1C46"/>
    <w:rsid w:val="007D395B"/>
    <w:rsid w:val="007D4430"/>
    <w:rsid w:val="00847495"/>
    <w:rsid w:val="008636E2"/>
    <w:rsid w:val="008A7E2A"/>
    <w:rsid w:val="009359F2"/>
    <w:rsid w:val="0094382E"/>
    <w:rsid w:val="00951B1A"/>
    <w:rsid w:val="009E33D3"/>
    <w:rsid w:val="00A021A2"/>
    <w:rsid w:val="00A320E5"/>
    <w:rsid w:val="00A70582"/>
    <w:rsid w:val="00AB5FEA"/>
    <w:rsid w:val="00AB7B4E"/>
    <w:rsid w:val="00B15946"/>
    <w:rsid w:val="00B2737F"/>
    <w:rsid w:val="00B31E2E"/>
    <w:rsid w:val="00B41BF8"/>
    <w:rsid w:val="00BA487B"/>
    <w:rsid w:val="00BA7BD1"/>
    <w:rsid w:val="00BB642B"/>
    <w:rsid w:val="00BF02E9"/>
    <w:rsid w:val="00BF3F24"/>
    <w:rsid w:val="00C7470A"/>
    <w:rsid w:val="00DE2416"/>
    <w:rsid w:val="00E42E87"/>
    <w:rsid w:val="00E62EF0"/>
    <w:rsid w:val="00ED0E3A"/>
    <w:rsid w:val="00F352E6"/>
    <w:rsid w:val="00F67315"/>
    <w:rsid w:val="00F91724"/>
    <w:rsid w:val="00F92AEE"/>
    <w:rsid w:val="00FE4B8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8B5D75BC-09A8-4A24-AF6B-EA091288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FEA"/>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sl-SI"/>
    </w:rPr>
  </w:style>
  <w:style w:type="paragraph" w:styleId="Heading1">
    <w:name w:val="heading 1"/>
    <w:basedOn w:val="Normal"/>
    <w:next w:val="Normal"/>
    <w:link w:val="Heading1Char"/>
    <w:qFormat/>
    <w:rsid w:val="00951B1A"/>
    <w:pPr>
      <w:keepNext/>
      <w:keepLines/>
      <w:pBdr>
        <w:top w:val="single" w:sz="4" w:space="1" w:color="auto"/>
        <w:bottom w:val="single" w:sz="4" w:space="1" w:color="auto"/>
      </w:pBdr>
      <w:shd w:val="clear" w:color="auto" w:fill="E6E6E6"/>
      <w:jc w:val="left"/>
      <w:outlineLvl w:val="0"/>
    </w:pPr>
    <w:rPr>
      <w:b/>
      <w:spacing w:val="20"/>
      <w:sz w:val="32"/>
      <w:szCs w:val="32"/>
    </w:rPr>
  </w:style>
  <w:style w:type="paragraph" w:styleId="Heading2">
    <w:name w:val="heading 2"/>
    <w:basedOn w:val="Normal"/>
    <w:next w:val="Normal"/>
    <w:link w:val="Heading2Char"/>
    <w:qFormat/>
    <w:rsid w:val="00E62EF0"/>
    <w:pPr>
      <w:keepNext/>
      <w:keepLines/>
      <w:pBdr>
        <w:top w:val="single" w:sz="4" w:space="1" w:color="auto"/>
        <w:bottom w:val="single" w:sz="4" w:space="1" w:color="auto"/>
      </w:pBdr>
      <w:shd w:val="clear" w:color="auto" w:fill="E6E6E6"/>
      <w:jc w:val="left"/>
      <w:outlineLvl w:val="1"/>
    </w:pPr>
    <w:rPr>
      <w:b/>
      <w:spacing w:val="20"/>
      <w:sz w:val="30"/>
      <w:szCs w:val="30"/>
    </w:rPr>
  </w:style>
  <w:style w:type="paragraph" w:styleId="Heading3">
    <w:name w:val="heading 3"/>
    <w:basedOn w:val="Normal"/>
    <w:next w:val="Normal"/>
    <w:link w:val="Heading3Char"/>
    <w:qFormat/>
    <w:rsid w:val="00FE4B89"/>
    <w:pPr>
      <w:keepNext/>
      <w:keepLines/>
      <w:pBdr>
        <w:top w:val="single" w:sz="4" w:space="1" w:color="auto"/>
        <w:bottom w:val="single" w:sz="4" w:space="1" w:color="auto"/>
      </w:pBdr>
      <w:shd w:val="clear" w:color="auto" w:fill="E6E6E6"/>
      <w:overflowPunct/>
      <w:autoSpaceDE/>
      <w:autoSpaceDN/>
      <w:adjustRightInd/>
      <w:spacing w:line="288" w:lineRule="auto"/>
      <w:jc w:val="left"/>
      <w:textAlignment w:val="auto"/>
      <w:outlineLvl w:val="2"/>
    </w:pPr>
    <w:rPr>
      <w:rFonts w:cs="Arial"/>
      <w:b/>
      <w:iCs/>
      <w:spacing w:val="20"/>
      <w:sz w:val="28"/>
      <w:szCs w:val="28"/>
    </w:rPr>
  </w:style>
  <w:style w:type="paragraph" w:styleId="Heading4">
    <w:name w:val="heading 4"/>
    <w:basedOn w:val="Normal"/>
    <w:next w:val="Normal"/>
    <w:link w:val="Heading4Char"/>
    <w:qFormat/>
    <w:rsid w:val="00951B1A"/>
    <w:pPr>
      <w:keepNext/>
      <w:keepLines/>
      <w:pBdr>
        <w:top w:val="single" w:sz="4" w:space="1" w:color="auto"/>
        <w:bottom w:val="single" w:sz="4" w:space="1" w:color="auto"/>
      </w:pBdr>
      <w:overflowPunct/>
      <w:autoSpaceDE/>
      <w:autoSpaceDN/>
      <w:adjustRightInd/>
      <w:jc w:val="left"/>
      <w:textAlignment w:val="auto"/>
      <w:outlineLvl w:val="3"/>
    </w:pPr>
    <w:rPr>
      <w:b/>
      <w:bCs/>
      <w:sz w:val="28"/>
      <w:szCs w:val="28"/>
    </w:rPr>
  </w:style>
  <w:style w:type="paragraph" w:styleId="Heading5">
    <w:name w:val="heading 5"/>
    <w:basedOn w:val="Normal"/>
    <w:next w:val="Normal"/>
    <w:link w:val="Heading5Char"/>
    <w:qFormat/>
    <w:rsid w:val="00E62EF0"/>
    <w:pPr>
      <w:keepNext/>
      <w:keepLines/>
      <w:jc w:val="left"/>
      <w:outlineLvl w:val="4"/>
    </w:pPr>
    <w:rPr>
      <w:b/>
      <w:sz w:val="26"/>
      <w:szCs w:val="26"/>
    </w:rPr>
  </w:style>
  <w:style w:type="paragraph" w:styleId="Heading6">
    <w:name w:val="heading 6"/>
    <w:basedOn w:val="Normal"/>
    <w:next w:val="Normal"/>
    <w:link w:val="Heading6Char"/>
    <w:qFormat/>
    <w:rsid w:val="00E62EF0"/>
    <w:pPr>
      <w:keepNext/>
      <w:keepLines/>
      <w:jc w:val="left"/>
      <w:outlineLvl w:val="5"/>
    </w:pPr>
    <w:rPr>
      <w:b/>
      <w:sz w:val="24"/>
      <w:szCs w:val="24"/>
    </w:rPr>
  </w:style>
  <w:style w:type="paragraph" w:styleId="Heading7">
    <w:name w:val="heading 7"/>
    <w:basedOn w:val="Normal"/>
    <w:next w:val="Normal"/>
    <w:link w:val="Heading7Char"/>
    <w:qFormat/>
    <w:rsid w:val="00E62EF0"/>
    <w:pPr>
      <w:keepNext/>
      <w:jc w:val="left"/>
      <w:outlineLvl w:val="6"/>
    </w:pPr>
    <w:rPr>
      <w:b/>
      <w:spacing w:val="24"/>
      <w:szCs w:val="22"/>
    </w:rPr>
  </w:style>
  <w:style w:type="paragraph" w:styleId="Heading8">
    <w:name w:val="heading 8"/>
    <w:basedOn w:val="Normal6"/>
    <w:next w:val="Normal"/>
    <w:link w:val="Heading8Char"/>
    <w:uiPriority w:val="9"/>
    <w:unhideWhenUsed/>
    <w:qFormat/>
    <w:rsid w:val="00E62EF0"/>
    <w:pPr>
      <w:keepNext/>
      <w:keepLines/>
      <w:ind w:left="0"/>
      <w:outlineLvl w:val="7"/>
    </w:pPr>
    <w:rPr>
      <w:b/>
    </w:rPr>
  </w:style>
  <w:style w:type="paragraph" w:styleId="Heading9">
    <w:name w:val="heading 9"/>
    <w:basedOn w:val="Normal"/>
    <w:next w:val="Normal"/>
    <w:link w:val="Heading9Char"/>
    <w:uiPriority w:val="9"/>
    <w:unhideWhenUsed/>
    <w:qFormat/>
    <w:rsid w:val="00E62EF0"/>
    <w:pPr>
      <w:keepNext/>
      <w:keepLines/>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1B1A"/>
    <w:rPr>
      <w:rFonts w:ascii="Times New Roman" w:eastAsia="Times New Roman" w:hAnsi="Times New Roman" w:cs="Times New Roman"/>
      <w:b/>
      <w:spacing w:val="20"/>
      <w:sz w:val="32"/>
      <w:szCs w:val="32"/>
      <w:shd w:val="clear" w:color="auto" w:fill="E6E6E6"/>
      <w:lang w:val="sl-SI"/>
    </w:rPr>
  </w:style>
  <w:style w:type="character" w:customStyle="1" w:styleId="Heading2Char">
    <w:name w:val="Heading 2 Char"/>
    <w:basedOn w:val="DefaultParagraphFont"/>
    <w:link w:val="Heading2"/>
    <w:rsid w:val="00E62EF0"/>
    <w:rPr>
      <w:rFonts w:ascii="Times New Roman" w:eastAsia="Times New Roman" w:hAnsi="Times New Roman" w:cs="Times New Roman"/>
      <w:b/>
      <w:spacing w:val="20"/>
      <w:sz w:val="30"/>
      <w:szCs w:val="30"/>
      <w:shd w:val="clear" w:color="auto" w:fill="E6E6E6"/>
      <w:lang w:val="sl-SI"/>
    </w:rPr>
  </w:style>
  <w:style w:type="character" w:customStyle="1" w:styleId="Heading3Char">
    <w:name w:val="Heading 3 Char"/>
    <w:basedOn w:val="DefaultParagraphFont"/>
    <w:link w:val="Heading3"/>
    <w:rsid w:val="00FE4B89"/>
    <w:rPr>
      <w:rFonts w:ascii="Times New Roman" w:eastAsia="Times New Roman" w:hAnsi="Times New Roman" w:cs="Arial"/>
      <w:b/>
      <w:iCs/>
      <w:spacing w:val="20"/>
      <w:sz w:val="28"/>
      <w:szCs w:val="28"/>
      <w:shd w:val="clear" w:color="auto" w:fill="E6E6E6"/>
      <w:lang w:val="sl-SI"/>
    </w:rPr>
  </w:style>
  <w:style w:type="character" w:customStyle="1" w:styleId="Heading4Char">
    <w:name w:val="Heading 4 Char"/>
    <w:basedOn w:val="DefaultParagraphFont"/>
    <w:link w:val="Heading4"/>
    <w:rsid w:val="00951B1A"/>
    <w:rPr>
      <w:rFonts w:ascii="Times New Roman" w:eastAsia="Times New Roman" w:hAnsi="Times New Roman" w:cs="Times New Roman"/>
      <w:b/>
      <w:bCs/>
      <w:sz w:val="28"/>
      <w:szCs w:val="28"/>
      <w:lang w:val="sl-SI"/>
    </w:rPr>
  </w:style>
  <w:style w:type="character" w:customStyle="1" w:styleId="Heading5Char">
    <w:name w:val="Heading 5 Char"/>
    <w:basedOn w:val="DefaultParagraphFont"/>
    <w:link w:val="Heading5"/>
    <w:rsid w:val="00E62EF0"/>
    <w:rPr>
      <w:rFonts w:ascii="Times New Roman" w:eastAsia="Times New Roman" w:hAnsi="Times New Roman" w:cs="Times New Roman"/>
      <w:b/>
      <w:sz w:val="26"/>
      <w:szCs w:val="26"/>
      <w:lang w:val="sl-SI"/>
    </w:rPr>
  </w:style>
  <w:style w:type="character" w:customStyle="1" w:styleId="Heading6Char">
    <w:name w:val="Heading 6 Char"/>
    <w:basedOn w:val="DefaultParagraphFont"/>
    <w:link w:val="Heading6"/>
    <w:rsid w:val="00E62EF0"/>
    <w:rPr>
      <w:rFonts w:ascii="Times New Roman" w:eastAsia="Times New Roman" w:hAnsi="Times New Roman" w:cs="Times New Roman"/>
      <w:b/>
      <w:sz w:val="24"/>
      <w:szCs w:val="24"/>
      <w:lang w:val="sl-SI"/>
    </w:rPr>
  </w:style>
  <w:style w:type="character" w:customStyle="1" w:styleId="Heading7Char">
    <w:name w:val="Heading 7 Char"/>
    <w:basedOn w:val="DefaultParagraphFont"/>
    <w:link w:val="Heading7"/>
    <w:rsid w:val="00E62EF0"/>
    <w:rPr>
      <w:rFonts w:ascii="Times New Roman" w:eastAsia="Times New Roman" w:hAnsi="Times New Roman" w:cs="Times New Roman"/>
      <w:b/>
      <w:spacing w:val="24"/>
      <w:lang w:val="sl-SI"/>
    </w:rPr>
  </w:style>
  <w:style w:type="paragraph" w:customStyle="1" w:styleId="KAZALO">
    <w:name w:val="KAZALO"/>
    <w:basedOn w:val="Normal"/>
    <w:rsid w:val="00480C76"/>
    <w:pPr>
      <w:keepNext/>
      <w:spacing w:after="240"/>
      <w:jc w:val="center"/>
    </w:pPr>
    <w:rPr>
      <w:b/>
      <w:bCs/>
      <w:sz w:val="32"/>
      <w:szCs w:val="32"/>
    </w:rPr>
  </w:style>
  <w:style w:type="paragraph" w:styleId="Header">
    <w:name w:val="header"/>
    <w:basedOn w:val="Normal"/>
    <w:link w:val="HeaderChar"/>
    <w:semiHidden/>
    <w:rsid w:val="00480C76"/>
    <w:pPr>
      <w:pBdr>
        <w:bottom w:val="single" w:sz="4" w:space="1" w:color="auto"/>
      </w:pBdr>
      <w:tabs>
        <w:tab w:val="center" w:pos="4536"/>
        <w:tab w:val="right" w:pos="9072"/>
      </w:tabs>
    </w:pPr>
    <w:rPr>
      <w:sz w:val="16"/>
    </w:rPr>
  </w:style>
  <w:style w:type="character" w:customStyle="1" w:styleId="HeaderChar">
    <w:name w:val="Header Char"/>
    <w:basedOn w:val="DefaultParagraphFont"/>
    <w:link w:val="Header"/>
    <w:semiHidden/>
    <w:rsid w:val="00480C76"/>
    <w:rPr>
      <w:rFonts w:ascii="Times New Roman" w:eastAsia="Times New Roman" w:hAnsi="Times New Roman" w:cs="Times New Roman"/>
      <w:sz w:val="16"/>
      <w:szCs w:val="20"/>
      <w:lang w:val="sl-SI"/>
    </w:rPr>
  </w:style>
  <w:style w:type="paragraph" w:styleId="Footer">
    <w:name w:val="footer"/>
    <w:basedOn w:val="Normal"/>
    <w:link w:val="FooterChar"/>
    <w:semiHidden/>
    <w:rsid w:val="00480C76"/>
    <w:pPr>
      <w:pBdr>
        <w:top w:val="single" w:sz="4" w:space="1" w:color="auto"/>
      </w:pBdr>
      <w:tabs>
        <w:tab w:val="right" w:pos="9540"/>
      </w:tabs>
      <w:ind w:right="-21"/>
      <w:jc w:val="left"/>
    </w:pPr>
    <w:rPr>
      <w:sz w:val="20"/>
    </w:rPr>
  </w:style>
  <w:style w:type="character" w:customStyle="1" w:styleId="FooterChar">
    <w:name w:val="Footer Char"/>
    <w:basedOn w:val="DefaultParagraphFont"/>
    <w:link w:val="Footer"/>
    <w:semiHidden/>
    <w:rsid w:val="00480C76"/>
    <w:rPr>
      <w:rFonts w:ascii="Times New Roman" w:eastAsia="Times New Roman" w:hAnsi="Times New Roman" w:cs="Times New Roman"/>
      <w:sz w:val="20"/>
      <w:szCs w:val="20"/>
      <w:lang w:val="sl-SI"/>
    </w:rPr>
  </w:style>
  <w:style w:type="character" w:styleId="PageNumber">
    <w:name w:val="page number"/>
    <w:basedOn w:val="DefaultParagraphFont"/>
    <w:semiHidden/>
    <w:rsid w:val="00480C76"/>
  </w:style>
  <w:style w:type="paragraph" w:customStyle="1" w:styleId="Normal3">
    <w:name w:val="Normal 3"/>
    <w:basedOn w:val="Normal"/>
    <w:link w:val="Normal3Char"/>
    <w:rsid w:val="00480C76"/>
    <w:pPr>
      <w:ind w:left="360"/>
    </w:pPr>
  </w:style>
  <w:style w:type="paragraph" w:customStyle="1" w:styleId="Normal4">
    <w:name w:val="Normal 4"/>
    <w:basedOn w:val="Normal"/>
    <w:link w:val="Normal4Char"/>
    <w:rsid w:val="00480C76"/>
    <w:pPr>
      <w:ind w:left="540"/>
    </w:pPr>
  </w:style>
  <w:style w:type="paragraph" w:customStyle="1" w:styleId="Normal5">
    <w:name w:val="Normal 5"/>
    <w:basedOn w:val="Normal"/>
    <w:link w:val="Normal5Char"/>
    <w:rsid w:val="00480C76"/>
    <w:pPr>
      <w:ind w:left="720"/>
    </w:pPr>
  </w:style>
  <w:style w:type="paragraph" w:customStyle="1" w:styleId="Normal6">
    <w:name w:val="Normal 6"/>
    <w:basedOn w:val="Normal"/>
    <w:link w:val="Normal6Char"/>
    <w:rsid w:val="00480C76"/>
    <w:pPr>
      <w:ind w:left="1080"/>
    </w:pPr>
  </w:style>
  <w:style w:type="character" w:customStyle="1" w:styleId="Normal3Char">
    <w:name w:val="Normal 3 Char"/>
    <w:basedOn w:val="DefaultParagraphFont"/>
    <w:link w:val="Normal3"/>
    <w:rsid w:val="00480C76"/>
    <w:rPr>
      <w:rFonts w:ascii="Times New Roman" w:eastAsia="Times New Roman" w:hAnsi="Times New Roman" w:cs="Times New Roman"/>
      <w:szCs w:val="20"/>
      <w:lang w:val="sl-SI"/>
    </w:rPr>
  </w:style>
  <w:style w:type="character" w:customStyle="1" w:styleId="Normal5Char">
    <w:name w:val="Normal 5 Char"/>
    <w:basedOn w:val="DefaultParagraphFont"/>
    <w:link w:val="Normal5"/>
    <w:rsid w:val="00480C76"/>
    <w:rPr>
      <w:rFonts w:ascii="Times New Roman" w:eastAsia="Times New Roman" w:hAnsi="Times New Roman" w:cs="Times New Roman"/>
      <w:szCs w:val="20"/>
      <w:lang w:val="sl-SI"/>
    </w:rPr>
  </w:style>
  <w:style w:type="character" w:customStyle="1" w:styleId="Normal4Char">
    <w:name w:val="Normal 4 Char"/>
    <w:basedOn w:val="DefaultParagraphFont"/>
    <w:link w:val="Normal4"/>
    <w:rsid w:val="00480C76"/>
    <w:rPr>
      <w:rFonts w:ascii="Times New Roman" w:eastAsia="Times New Roman" w:hAnsi="Times New Roman" w:cs="Times New Roman"/>
      <w:szCs w:val="20"/>
      <w:lang w:val="sl-SI"/>
    </w:rPr>
  </w:style>
  <w:style w:type="character" w:styleId="Emphasis">
    <w:name w:val="Emphasis"/>
    <w:basedOn w:val="DefaultParagraphFont"/>
    <w:qFormat/>
    <w:rsid w:val="00480C76"/>
    <w:rPr>
      <w:b/>
      <w:bCs/>
      <w:i w:val="0"/>
      <w:iCs w:val="0"/>
    </w:rPr>
  </w:style>
  <w:style w:type="character" w:styleId="Strong">
    <w:name w:val="Strong"/>
    <w:basedOn w:val="DefaultParagraphFont"/>
    <w:qFormat/>
    <w:rsid w:val="00480C76"/>
    <w:rPr>
      <w:b/>
      <w:bCs/>
    </w:rPr>
  </w:style>
  <w:style w:type="character" w:styleId="Hyperlink">
    <w:name w:val="Hyperlink"/>
    <w:basedOn w:val="DefaultParagraphFont"/>
    <w:rsid w:val="00480C76"/>
    <w:rPr>
      <w:color w:val="0000FF"/>
      <w:u w:val="single"/>
    </w:rPr>
  </w:style>
  <w:style w:type="table" w:styleId="TableGrid">
    <w:name w:val="Table Grid"/>
    <w:basedOn w:val="TableNormal"/>
    <w:rsid w:val="00480C76"/>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6Char">
    <w:name w:val="Normal 6 Char"/>
    <w:basedOn w:val="DefaultParagraphFont"/>
    <w:link w:val="Normal6"/>
    <w:rsid w:val="00480C76"/>
    <w:rPr>
      <w:rFonts w:ascii="Times New Roman" w:eastAsia="Times New Roman" w:hAnsi="Times New Roman" w:cs="Times New Roman"/>
      <w:szCs w:val="20"/>
      <w:lang w:val="sl-SI"/>
    </w:rPr>
  </w:style>
  <w:style w:type="paragraph" w:customStyle="1" w:styleId="CellHeader">
    <w:name w:val="CellHeader"/>
    <w:basedOn w:val="Normal"/>
    <w:qFormat/>
    <w:rsid w:val="00BB642B"/>
    <w:rPr>
      <w:rFonts w:cs="Arial"/>
      <w:bCs/>
      <w:sz w:val="20"/>
      <w:szCs w:val="22"/>
      <w:lang w:eastAsia="hr-HR"/>
    </w:rPr>
  </w:style>
  <w:style w:type="paragraph" w:customStyle="1" w:styleId="CellColumn">
    <w:name w:val="CellColumn"/>
    <w:basedOn w:val="CellHeader"/>
    <w:qFormat/>
    <w:rsid w:val="00BB642B"/>
  </w:style>
  <w:style w:type="character" w:customStyle="1" w:styleId="Heading8Char">
    <w:name w:val="Heading 8 Char"/>
    <w:basedOn w:val="DefaultParagraphFont"/>
    <w:link w:val="Heading8"/>
    <w:uiPriority w:val="9"/>
    <w:rsid w:val="00E62EF0"/>
    <w:rPr>
      <w:rFonts w:ascii="Times New Roman" w:eastAsia="Times New Roman" w:hAnsi="Times New Roman" w:cs="Times New Roman"/>
      <w:b/>
      <w:szCs w:val="20"/>
      <w:lang w:val="sl-SI"/>
    </w:rPr>
  </w:style>
  <w:style w:type="character" w:customStyle="1" w:styleId="Heading9Char">
    <w:name w:val="Heading 9 Char"/>
    <w:basedOn w:val="DefaultParagraphFont"/>
    <w:link w:val="Heading9"/>
    <w:uiPriority w:val="9"/>
    <w:rsid w:val="00E62EF0"/>
    <w:rPr>
      <w:rFonts w:asciiTheme="majorHAnsi" w:eastAsiaTheme="majorEastAsia" w:hAnsiTheme="majorHAnsi" w:cstheme="majorBidi"/>
      <w:i/>
      <w:iCs/>
      <w:color w:val="272727" w:themeColor="text1" w:themeTint="D8"/>
      <w:sz w:val="21"/>
      <w:szCs w:val="21"/>
      <w:lang w:val="sl-SI"/>
    </w:rPr>
  </w:style>
  <w:style w:type="table" w:customStyle="1" w:styleId="Style1">
    <w:name w:val="Style1"/>
    <w:basedOn w:val="TableNormal"/>
    <w:uiPriority w:val="99"/>
    <w:rsid w:val="007A7E45"/>
    <w:pPr>
      <w:keepLines/>
      <w:spacing w:after="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tblStylePr w:type="firstRow">
      <w:pPr>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tcPr>
    </w:tblStylePr>
  </w:style>
  <w:style w:type="table" w:customStyle="1" w:styleId="StilTablice">
    <w:name w:val="StilTablice"/>
    <w:basedOn w:val="TableNormal"/>
    <w:uiPriority w:val="99"/>
    <w:rsid w:val="00ED0E3A"/>
    <w:pPr>
      <w:spacing w:after="12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paragraph" w:customStyle="1" w:styleId="NormalSpecial">
    <w:name w:val="NormalSpecial"/>
    <w:basedOn w:val="Normal"/>
    <w:next w:val="Normal"/>
    <w:qFormat/>
    <w:rsid w:val="0027042C"/>
    <w:pPr>
      <w:keepNext/>
      <w:spacing w:after="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 standalone="yes"?>
<Relationships xmlns="http://schemas.openxmlformats.org/package/2006/relationships">
  <Relationship Id="rId8" Type="http://schemas.openxmlformats.org/officeDocument/2006/relationships/footer" Target="footer1.xml" />
  <Relationship Id="rId3" Type="http://schemas.openxmlformats.org/officeDocument/2006/relationships/settings" Target="settings.xml" />
  <Relationship Id="rId7" Type="http://schemas.openxmlformats.org/officeDocument/2006/relationships/header" Target="header1.xml" />
  <Relationship Id="rId2" Type="http://schemas.openxmlformats.org/officeDocument/2006/relationships/styles" Target="styles.xml" />
  <Relationship Id="rId1" Type="http://schemas.openxmlformats.org/officeDocument/2006/relationships/customXml" Target="../customXml/item1.xml" />
  <Relationship Id="rId6" Type="http://schemas.openxmlformats.org/officeDocument/2006/relationships/endnotes" Target="endnotes.xml" />
  <Relationship Id="rId5" Type="http://schemas.openxmlformats.org/officeDocument/2006/relationships/footnotes" Target="footnotes.xml" />
  <Relationship Id="rId10" Type="http://schemas.openxmlformats.org/officeDocument/2006/relationships/theme" Target="theme/theme1.xml" />
  <Relationship Id="rId4" Type="http://schemas.openxmlformats.org/officeDocument/2006/relationships/webSettings" Target="webSettings.xml" />
  <Relationship Id="rId9" Type="http://schemas.openxmlformats.org/officeDocument/2006/relationships/fontTable" Target="fontTable.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35C74-F0A5-43D9-90B4-B27B2CF5F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Anita Marasović</dc:creator>
  <cp:lastModifiedBy>Anita Marasović</cp:lastModifiedBy>
  <cp:revision>14</cp:revision>
  <dcterms:created xsi:type="dcterms:W3CDTF">2016-10-28T08:23:00Z</dcterms:created>
  <dcterms:modified xsi:type="dcterms:W3CDTF">2016-11-09T08:08:00Z</dcterms:modified>
</cp:coreProperties>
</file>